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A9339" w14:textId="40A5696E" w:rsidR="0012388D" w:rsidRDefault="00772BDC" w:rsidP="00CA5734">
      <w:pPr>
        <w:rPr>
          <w:rFonts w:cs="Arial"/>
        </w:rPr>
      </w:pPr>
      <w:r>
        <w:rPr>
          <w:rFonts w:cs="Arial"/>
          <w:noProof/>
          <w:lang w:eastAsia="en-GB" w:bidi="ar-SA"/>
        </w:rPr>
        <w:drawing>
          <wp:inline distT="0" distB="0" distL="0" distR="0" wp14:anchorId="76BA0CBE" wp14:editId="24CA8A16">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14:paraId="153AB469" w14:textId="77777777" w:rsidR="00D81930" w:rsidRDefault="00D81930" w:rsidP="00D81930">
      <w:pPr>
        <w:pStyle w:val="Header"/>
        <w:ind w:right="-56"/>
        <w:rPr>
          <w:rFonts w:ascii="Times New Roman" w:hAnsi="Times New Roman"/>
        </w:rPr>
      </w:pPr>
    </w:p>
    <w:p w14:paraId="0827DA71" w14:textId="77777777" w:rsidR="00D81930" w:rsidRDefault="00D81930" w:rsidP="00D81930">
      <w:pPr>
        <w:tabs>
          <w:tab w:val="left" w:pos="851"/>
        </w:tabs>
        <w:rPr>
          <w:b/>
          <w:sz w:val="28"/>
          <w:szCs w:val="28"/>
        </w:rPr>
      </w:pPr>
      <w:r>
        <w:rPr>
          <w:b/>
          <w:sz w:val="28"/>
          <w:szCs w:val="28"/>
        </w:rPr>
        <w:t>26 October 2016</w:t>
      </w:r>
    </w:p>
    <w:p w14:paraId="7BF3E0A9" w14:textId="77777777" w:rsidR="00D81930" w:rsidRDefault="00D81930" w:rsidP="00D81930">
      <w:pPr>
        <w:rPr>
          <w:b/>
          <w:sz w:val="28"/>
          <w:szCs w:val="28"/>
        </w:rPr>
      </w:pPr>
      <w:r>
        <w:rPr>
          <w:b/>
          <w:sz w:val="28"/>
          <w:szCs w:val="28"/>
        </w:rPr>
        <w:t>[26–16]</w:t>
      </w:r>
    </w:p>
    <w:p w14:paraId="55FEBBC3" w14:textId="77777777" w:rsidR="00D81930" w:rsidRDefault="00D81930" w:rsidP="00D81930">
      <w:pPr>
        <w:rPr>
          <w:b/>
          <w:sz w:val="20"/>
        </w:rPr>
      </w:pPr>
    </w:p>
    <w:p w14:paraId="06293B75" w14:textId="53EE290B" w:rsidR="0012388D" w:rsidRPr="000B427A" w:rsidRDefault="00B425AA" w:rsidP="00B425AA">
      <w:pPr>
        <w:pStyle w:val="FSTitle"/>
      </w:pPr>
      <w:r w:rsidRPr="00CA5734">
        <w:t>A</w:t>
      </w:r>
      <w:r w:rsidR="00DD265C">
        <w:t>pproval</w:t>
      </w:r>
      <w:r w:rsidRPr="00CA5734">
        <w:t xml:space="preserve"> </w:t>
      </w:r>
      <w:r w:rsidR="00B77C18">
        <w:t>r</w:t>
      </w:r>
      <w:r w:rsidR="00DD265C" w:rsidRPr="00CA5734">
        <w:t>eport</w:t>
      </w:r>
      <w:r w:rsidRPr="000B427A">
        <w:t xml:space="preserve"> – </w:t>
      </w:r>
      <w:r w:rsidR="00EB6590" w:rsidRPr="00A316F6">
        <w:t>A</w:t>
      </w:r>
      <w:r w:rsidR="00DD265C" w:rsidRPr="00A316F6">
        <w:t>pplication</w:t>
      </w:r>
      <w:r w:rsidR="00CA5734" w:rsidRPr="00A316F6">
        <w:t xml:space="preserve"> </w:t>
      </w:r>
      <w:r w:rsidR="00D15A08" w:rsidRPr="00A316F6">
        <w:t>A</w:t>
      </w:r>
      <w:r w:rsidR="00B72BDE" w:rsidRPr="00A316F6">
        <w:t>1113</w:t>
      </w:r>
    </w:p>
    <w:p w14:paraId="76DAAB80" w14:textId="77777777" w:rsidR="003A7B84" w:rsidRPr="00CA5734" w:rsidRDefault="003A7B84" w:rsidP="00A671E6"/>
    <w:p w14:paraId="79A3F95A" w14:textId="77777777" w:rsidR="00B72BDE" w:rsidRPr="002551B4" w:rsidRDefault="00B72BDE" w:rsidP="00B72BDE">
      <w:pPr>
        <w:pStyle w:val="FSTitle"/>
      </w:pPr>
      <w:r w:rsidRPr="002551B4">
        <w:t xml:space="preserve">Extension of the use of Propionates in Processed Meat </w:t>
      </w:r>
    </w:p>
    <w:p w14:paraId="13F20043" w14:textId="77777777" w:rsidR="003A7B84" w:rsidRPr="00E327A6" w:rsidRDefault="003A7B84" w:rsidP="00871116">
      <w:pPr>
        <w:pBdr>
          <w:bottom w:val="single" w:sz="12" w:space="1" w:color="auto"/>
        </w:pBdr>
        <w:tabs>
          <w:tab w:val="left" w:pos="1140"/>
        </w:tabs>
        <w:rPr>
          <w:rFonts w:cs="Arial"/>
          <w:bCs/>
        </w:rPr>
      </w:pPr>
    </w:p>
    <w:p w14:paraId="4600BBCB" w14:textId="77777777" w:rsidR="003A7B84" w:rsidRPr="00E327A6" w:rsidRDefault="003A7B84" w:rsidP="003A7B84"/>
    <w:p w14:paraId="25313017" w14:textId="21961306" w:rsidR="00EB6590" w:rsidRDefault="000F3CFE" w:rsidP="00B72BDE">
      <w:r>
        <w:t>Food Standards Australia New Zealand (FSANZ</w:t>
      </w:r>
      <w:r w:rsidRPr="00E5021C">
        <w:rPr>
          <w:szCs w:val="22"/>
        </w:rPr>
        <w:t>) has</w:t>
      </w:r>
      <w:r w:rsidR="00081B0A" w:rsidRPr="00E5021C">
        <w:rPr>
          <w:szCs w:val="22"/>
        </w:rPr>
        <w:t xml:space="preserve"> assessed </w:t>
      </w:r>
      <w:r w:rsidR="00B72BDE" w:rsidRPr="00E5021C">
        <w:rPr>
          <w:szCs w:val="22"/>
        </w:rPr>
        <w:t xml:space="preserve">an application made by </w:t>
      </w:r>
      <w:proofErr w:type="spellStart"/>
      <w:r w:rsidR="00B72BDE" w:rsidRPr="00E5021C">
        <w:rPr>
          <w:szCs w:val="22"/>
        </w:rPr>
        <w:t>Axiome</w:t>
      </w:r>
      <w:proofErr w:type="spellEnd"/>
      <w:r w:rsidR="00B72BDE" w:rsidRPr="00E5021C">
        <w:rPr>
          <w:szCs w:val="22"/>
        </w:rPr>
        <w:t xml:space="preserve"> Pty Ltd on behalf of </w:t>
      </w:r>
      <w:proofErr w:type="spellStart"/>
      <w:r w:rsidR="00B72BDE" w:rsidRPr="00E5021C">
        <w:rPr>
          <w:szCs w:val="22"/>
        </w:rPr>
        <w:t>Kemin</w:t>
      </w:r>
      <w:proofErr w:type="spellEnd"/>
      <w:r w:rsidR="00B72BDE" w:rsidRPr="00E5021C">
        <w:rPr>
          <w:szCs w:val="22"/>
        </w:rPr>
        <w:t xml:space="preserve"> Industries (Asia) P</w:t>
      </w:r>
      <w:r w:rsidR="00D244DD">
        <w:rPr>
          <w:szCs w:val="22"/>
        </w:rPr>
        <w:t>te</w:t>
      </w:r>
      <w:bookmarkStart w:id="0" w:name="_GoBack"/>
      <w:bookmarkEnd w:id="0"/>
      <w:r w:rsidR="00B72BDE" w:rsidRPr="00E5021C">
        <w:rPr>
          <w:szCs w:val="22"/>
        </w:rPr>
        <w:t xml:space="preserve"> Ltd to extend the use of propionates as anti-microbial preservatives in processed meat products.</w:t>
      </w:r>
    </w:p>
    <w:p w14:paraId="6B0EB7EC" w14:textId="77777777" w:rsidR="00CA5734" w:rsidRDefault="00CA5734" w:rsidP="00CA5734"/>
    <w:p w14:paraId="2EB2C335" w14:textId="256192D4" w:rsidR="00081B0A" w:rsidRDefault="00081B0A" w:rsidP="00CA5734">
      <w:r w:rsidRPr="0090061F">
        <w:t>On</w:t>
      </w:r>
      <w:r w:rsidR="00B72BDE" w:rsidRPr="0090061F">
        <w:t xml:space="preserve"> 29 June 2016</w:t>
      </w:r>
      <w:r w:rsidR="003A7B84" w:rsidRPr="0090061F">
        <w:t>,</w:t>
      </w:r>
      <w:r w:rsidRPr="0090061F">
        <w:t xml:space="preserve"> </w:t>
      </w:r>
      <w:r>
        <w:t xml:space="preserve">FSANZ sought </w:t>
      </w:r>
      <w:r w:rsidR="003A7B84">
        <w:t xml:space="preserve">submissions </w:t>
      </w:r>
      <w:r w:rsidR="00A671E6">
        <w:t xml:space="preserve">on </w:t>
      </w:r>
      <w:r w:rsidR="00F526BD">
        <w:t>a draft</w:t>
      </w:r>
      <w:r w:rsidR="00CA5734" w:rsidRPr="00CA5734">
        <w:rPr>
          <w:color w:val="FF0000"/>
        </w:rPr>
        <w:t xml:space="preserve"> </w:t>
      </w:r>
      <w:r w:rsidR="00E30092" w:rsidRPr="00B72BDE">
        <w:t xml:space="preserve">variation </w:t>
      </w:r>
      <w:r w:rsidR="003A7B84">
        <w:t xml:space="preserve">and published an </w:t>
      </w:r>
      <w:r w:rsidR="00EC21DF">
        <w:t>associated r</w:t>
      </w:r>
      <w:r w:rsidR="003A7B84">
        <w:t>eport</w:t>
      </w:r>
      <w:r>
        <w:t>.</w:t>
      </w:r>
      <w:r w:rsidR="00F526BD">
        <w:t xml:space="preserve"> FSANZ </w:t>
      </w:r>
      <w:r w:rsidR="00F526BD" w:rsidRPr="008651C1">
        <w:t xml:space="preserve">received </w:t>
      </w:r>
      <w:r w:rsidR="002C6B30">
        <w:t>five</w:t>
      </w:r>
      <w:r w:rsidR="00F526BD">
        <w:t xml:space="preserve"> submissions</w:t>
      </w:r>
      <w:r w:rsidR="008651C1">
        <w:t xml:space="preserve">, </w:t>
      </w:r>
      <w:r w:rsidR="00E5021C">
        <w:t xml:space="preserve">along </w:t>
      </w:r>
      <w:r w:rsidR="008651C1">
        <w:t xml:space="preserve">with </w:t>
      </w:r>
      <w:r w:rsidR="002C6B30">
        <w:t>one</w:t>
      </w:r>
      <w:r w:rsidR="008651C1">
        <w:t xml:space="preserve"> late submission</w:t>
      </w:r>
      <w:r w:rsidR="00E5021C">
        <w:t>,</w:t>
      </w:r>
      <w:r w:rsidR="008651C1">
        <w:t xml:space="preserve"> which all supported FSANZ’s report and draft variation</w:t>
      </w:r>
      <w:r w:rsidR="00F526BD">
        <w:t>.</w:t>
      </w:r>
    </w:p>
    <w:p w14:paraId="1AF7A671" w14:textId="77777777" w:rsidR="00CA5734" w:rsidRDefault="00CA5734" w:rsidP="00CA5734"/>
    <w:p w14:paraId="73FB7F0A" w14:textId="77777777" w:rsidR="00D81930" w:rsidRDefault="00081B0A" w:rsidP="00CA5734">
      <w:r>
        <w:t xml:space="preserve">FSANZ approved the draft </w:t>
      </w:r>
      <w:r w:rsidR="00B72BDE" w:rsidRPr="00B72BDE">
        <w:t xml:space="preserve">variation </w:t>
      </w:r>
      <w:r w:rsidR="0012388D">
        <w:t>o</w:t>
      </w:r>
      <w:r w:rsidR="0012388D" w:rsidRPr="00D81930">
        <w:t xml:space="preserve">n </w:t>
      </w:r>
      <w:r w:rsidR="00D81930" w:rsidRPr="00D81930">
        <w:t>19 October 2016</w:t>
      </w:r>
      <w:r w:rsidRPr="00D81930">
        <w:t xml:space="preserve">. </w:t>
      </w:r>
      <w:r w:rsidR="003A7B84" w:rsidRPr="00D81930">
        <w:t xml:space="preserve">The </w:t>
      </w:r>
      <w:r w:rsidR="00011187" w:rsidRPr="00D81930">
        <w:rPr>
          <w:rFonts w:cs="Helvetica"/>
          <w:lang w:val="en-AU"/>
        </w:rPr>
        <w:t xml:space="preserve">Australia and New Zealand Ministerial Forum on Food </w:t>
      </w:r>
      <w:r w:rsidR="00011187" w:rsidRPr="00D81930">
        <w:rPr>
          <w:rFonts w:cs="Arial"/>
        </w:rPr>
        <w:t>Regulation</w:t>
      </w:r>
      <w:r w:rsidR="00011187" w:rsidRPr="00D81930">
        <w:rPr>
          <w:rFonts w:cs="Helvetica"/>
          <w:lang w:val="en-AU"/>
        </w:rPr>
        <w:t xml:space="preserve"> </w:t>
      </w:r>
      <w:r w:rsidR="00861C13" w:rsidRPr="00D81930">
        <w:rPr>
          <w:rFonts w:cs="Arial"/>
        </w:rPr>
        <w:t>(F</w:t>
      </w:r>
      <w:r w:rsidR="00014E34" w:rsidRPr="00D81930">
        <w:rPr>
          <w:rFonts w:cs="Arial"/>
        </w:rPr>
        <w:t>orum</w:t>
      </w:r>
      <w:r w:rsidR="00861C13" w:rsidRPr="00D81930">
        <w:rPr>
          <w:rFonts w:cs="Arial"/>
        </w:rPr>
        <w:t>)</w:t>
      </w:r>
      <w:r w:rsidR="003A7B84" w:rsidRPr="00D81930">
        <w:t xml:space="preserve"> was notified of FSANZ’s decision on </w:t>
      </w:r>
    </w:p>
    <w:p w14:paraId="29B8FCE4" w14:textId="12459E7E" w:rsidR="00081B0A" w:rsidRPr="00D81930" w:rsidRDefault="00D81930" w:rsidP="00CA5734">
      <w:r w:rsidRPr="00D81930">
        <w:t>25 October 2016</w:t>
      </w:r>
      <w:r w:rsidR="003A7B84" w:rsidRPr="00D81930">
        <w:t>.</w:t>
      </w:r>
    </w:p>
    <w:p w14:paraId="38CA8760" w14:textId="77777777" w:rsidR="00CA5734" w:rsidRDefault="00CA5734" w:rsidP="00CA5734"/>
    <w:p w14:paraId="4CB851D4" w14:textId="2D0AC442" w:rsidR="00081B0A" w:rsidRDefault="003A7B84" w:rsidP="00292B9B">
      <w:r>
        <w:t>This R</w:t>
      </w:r>
      <w:r w:rsidR="00B425AA">
        <w:t xml:space="preserve">eport is provided pursuant to </w:t>
      </w:r>
      <w:r w:rsidR="009A2699">
        <w:t>paragraph</w:t>
      </w:r>
      <w:r w:rsidR="00081B0A">
        <w:t xml:space="preserve"> </w:t>
      </w:r>
      <w:r w:rsidR="00081B0A" w:rsidRPr="00D64234">
        <w:t>33(1</w:t>
      </w:r>
      <w:proofErr w:type="gramStart"/>
      <w:r w:rsidR="00081B0A" w:rsidRPr="00D64234">
        <w:t>)(</w:t>
      </w:r>
      <w:proofErr w:type="gramEnd"/>
      <w:r w:rsidR="00081B0A" w:rsidRPr="00D64234">
        <w:t>b</w:t>
      </w:r>
      <w:r w:rsidR="00F33470" w:rsidRPr="00D64234">
        <w:t>)</w:t>
      </w:r>
      <w:r w:rsidR="00081B0A" w:rsidRPr="00D64234">
        <w:t xml:space="preserve"> </w:t>
      </w:r>
      <w:r w:rsidR="00081B0A">
        <w:t xml:space="preserve">of the </w:t>
      </w:r>
      <w:r w:rsidR="00081B0A" w:rsidRPr="0012388D">
        <w:rPr>
          <w:i/>
        </w:rPr>
        <w:t>Food Standards Australia New Zealand Act 1991</w:t>
      </w:r>
      <w:r w:rsidR="00081B0A">
        <w:t xml:space="preserve"> (the FSANZ Act).</w:t>
      </w:r>
    </w:p>
    <w:p w14:paraId="562817B1" w14:textId="77777777" w:rsidR="00F526BD" w:rsidRDefault="00F526BD" w:rsidP="00A671E6"/>
    <w:p w14:paraId="5B21CDCC" w14:textId="77777777" w:rsidR="00EB6590" w:rsidRDefault="00EB6590" w:rsidP="00F526BD"/>
    <w:p w14:paraId="3AE0E58C" w14:textId="77777777" w:rsidR="00A671E6" w:rsidRDefault="00A671E6" w:rsidP="00CC5468">
      <w:pPr>
        <w:sectPr w:rsidR="00A671E6" w:rsidSect="00EB576F">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14:paraId="60D30EEA" w14:textId="77777777" w:rsidR="0012388D" w:rsidRDefault="00D15A08" w:rsidP="00EC66BB">
      <w:pPr>
        <w:jc w:val="center"/>
        <w:rPr>
          <w:sz w:val="28"/>
          <w:szCs w:val="28"/>
        </w:rPr>
      </w:pPr>
      <w:r w:rsidRPr="00EC66BB">
        <w:rPr>
          <w:sz w:val="28"/>
          <w:szCs w:val="28"/>
        </w:rPr>
        <w:lastRenderedPageBreak/>
        <w:t xml:space="preserve">Table of </w:t>
      </w:r>
      <w:r w:rsidR="00B63BBA">
        <w:rPr>
          <w:sz w:val="28"/>
          <w:szCs w:val="28"/>
        </w:rPr>
        <w:t>c</w:t>
      </w:r>
      <w:r w:rsidRPr="00EC66BB">
        <w:rPr>
          <w:sz w:val="28"/>
          <w:szCs w:val="28"/>
        </w:rPr>
        <w:t>ontents</w:t>
      </w:r>
    </w:p>
    <w:p w14:paraId="1BF005CB" w14:textId="77777777" w:rsidR="00CE59AA" w:rsidRPr="00346622" w:rsidRDefault="00CE59AA" w:rsidP="00CE59AA">
      <w:pPr>
        <w:rPr>
          <w:rFonts w:cs="Arial"/>
          <w:sz w:val="20"/>
          <w:szCs w:val="20"/>
        </w:rPr>
      </w:pPr>
    </w:p>
    <w:p w14:paraId="3688D69C" w14:textId="77777777" w:rsidR="0047037D" w:rsidRPr="00103C7B" w:rsidRDefault="00B55714">
      <w:pPr>
        <w:pStyle w:val="TOC1"/>
        <w:tabs>
          <w:tab w:val="right" w:leader="dot" w:pos="9060"/>
        </w:tabs>
        <w:rPr>
          <w:rFonts w:ascii="Arial" w:eastAsiaTheme="minorEastAsia" w:hAnsi="Arial" w:cs="Arial"/>
          <w:b w:val="0"/>
          <w:bCs w:val="0"/>
          <w:caps w:val="0"/>
          <w:noProof/>
          <w:sz w:val="22"/>
          <w:szCs w:val="22"/>
          <w:lang w:eastAsia="en-GB" w:bidi="ar-SA"/>
        </w:rPr>
      </w:pPr>
      <w:r w:rsidRPr="00103C7B">
        <w:rPr>
          <w:rFonts w:ascii="Arial" w:hAnsi="Arial" w:cs="Arial"/>
          <w:b w:val="0"/>
          <w:bCs w:val="0"/>
          <w:caps w:val="0"/>
          <w:smallCaps/>
        </w:rPr>
        <w:fldChar w:fldCharType="begin"/>
      </w:r>
      <w:r w:rsidRPr="00103C7B">
        <w:rPr>
          <w:rFonts w:ascii="Arial" w:hAnsi="Arial" w:cs="Arial"/>
        </w:rPr>
        <w:instrText xml:space="preserve"> TOC \h \z \t "Heading 1,1,Heading 2,2,Heading 3,3" </w:instrText>
      </w:r>
      <w:r w:rsidRPr="00103C7B">
        <w:rPr>
          <w:rFonts w:ascii="Arial" w:hAnsi="Arial" w:cs="Arial"/>
          <w:b w:val="0"/>
          <w:bCs w:val="0"/>
          <w:caps w:val="0"/>
          <w:smallCaps/>
        </w:rPr>
        <w:fldChar w:fldCharType="separate"/>
      </w:r>
      <w:hyperlink w:anchor="_Toc460941255" w:history="1">
        <w:r w:rsidR="0047037D" w:rsidRPr="00103C7B">
          <w:rPr>
            <w:rStyle w:val="Hyperlink"/>
            <w:rFonts w:ascii="Arial" w:hAnsi="Arial" w:cs="Arial"/>
            <w:noProof/>
          </w:rPr>
          <w:t>Executive summary</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_Toc460941255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2</w:t>
        </w:r>
        <w:r w:rsidR="0047037D" w:rsidRPr="00103C7B">
          <w:rPr>
            <w:rFonts w:ascii="Arial" w:hAnsi="Arial" w:cs="Arial"/>
            <w:noProof/>
            <w:webHidden/>
          </w:rPr>
          <w:fldChar w:fldCharType="end"/>
        </w:r>
      </w:hyperlink>
    </w:p>
    <w:p w14:paraId="3A9DFB0F" w14:textId="77777777" w:rsidR="0047037D" w:rsidRPr="00103C7B" w:rsidRDefault="002A45D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0941256" w:history="1">
        <w:r w:rsidR="0047037D" w:rsidRPr="00103C7B">
          <w:rPr>
            <w:rStyle w:val="Hyperlink"/>
            <w:rFonts w:ascii="Arial" w:hAnsi="Arial" w:cs="Arial"/>
            <w:noProof/>
          </w:rPr>
          <w:t>1</w:t>
        </w:r>
        <w:r w:rsidR="0047037D" w:rsidRPr="00103C7B">
          <w:rPr>
            <w:rFonts w:ascii="Arial" w:eastAsiaTheme="minorEastAsia" w:hAnsi="Arial" w:cs="Arial"/>
            <w:b w:val="0"/>
            <w:bCs w:val="0"/>
            <w:caps w:val="0"/>
            <w:noProof/>
            <w:sz w:val="22"/>
            <w:szCs w:val="22"/>
            <w:lang w:eastAsia="en-GB" w:bidi="ar-SA"/>
          </w:rPr>
          <w:tab/>
        </w:r>
        <w:r w:rsidR="0047037D" w:rsidRPr="00103C7B">
          <w:rPr>
            <w:rStyle w:val="Hyperlink"/>
            <w:rFonts w:ascii="Arial" w:hAnsi="Arial" w:cs="Arial"/>
            <w:noProof/>
          </w:rPr>
          <w:t>Introduction</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_Toc460941256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4</w:t>
        </w:r>
        <w:r w:rsidR="0047037D" w:rsidRPr="00103C7B">
          <w:rPr>
            <w:rFonts w:ascii="Arial" w:hAnsi="Arial" w:cs="Arial"/>
            <w:noProof/>
            <w:webHidden/>
          </w:rPr>
          <w:fldChar w:fldCharType="end"/>
        </w:r>
      </w:hyperlink>
    </w:p>
    <w:p w14:paraId="59B546DD" w14:textId="77777777" w:rsidR="0047037D" w:rsidRPr="00103C7B" w:rsidRDefault="002A45D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0941257" w:history="1">
        <w:r w:rsidR="0047037D" w:rsidRPr="00103C7B">
          <w:rPr>
            <w:rStyle w:val="Hyperlink"/>
            <w:rFonts w:ascii="Arial" w:hAnsi="Arial" w:cs="Arial"/>
            <w:noProof/>
          </w:rPr>
          <w:t>1.1</w:t>
        </w:r>
        <w:r w:rsidR="0047037D" w:rsidRPr="00103C7B">
          <w:rPr>
            <w:rFonts w:ascii="Arial" w:eastAsiaTheme="minorEastAsia" w:hAnsi="Arial" w:cs="Arial"/>
            <w:smallCaps w:val="0"/>
            <w:noProof/>
            <w:sz w:val="22"/>
            <w:szCs w:val="22"/>
            <w:lang w:eastAsia="en-GB" w:bidi="ar-SA"/>
          </w:rPr>
          <w:tab/>
        </w:r>
        <w:r w:rsidR="0047037D" w:rsidRPr="00103C7B">
          <w:rPr>
            <w:rStyle w:val="Hyperlink"/>
            <w:rFonts w:ascii="Arial" w:hAnsi="Arial" w:cs="Arial"/>
            <w:noProof/>
          </w:rPr>
          <w:t>The Applicant</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_Toc460941257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4</w:t>
        </w:r>
        <w:r w:rsidR="0047037D" w:rsidRPr="00103C7B">
          <w:rPr>
            <w:rFonts w:ascii="Arial" w:hAnsi="Arial" w:cs="Arial"/>
            <w:noProof/>
            <w:webHidden/>
          </w:rPr>
          <w:fldChar w:fldCharType="end"/>
        </w:r>
      </w:hyperlink>
    </w:p>
    <w:p w14:paraId="1A6C7304" w14:textId="77777777" w:rsidR="0047037D" w:rsidRPr="00103C7B" w:rsidRDefault="002A45D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0941258" w:history="1">
        <w:r w:rsidR="0047037D" w:rsidRPr="00103C7B">
          <w:rPr>
            <w:rStyle w:val="Hyperlink"/>
            <w:rFonts w:ascii="Arial" w:hAnsi="Arial" w:cs="Arial"/>
            <w:noProof/>
          </w:rPr>
          <w:t>1.2</w:t>
        </w:r>
        <w:r w:rsidR="0047037D" w:rsidRPr="00103C7B">
          <w:rPr>
            <w:rFonts w:ascii="Arial" w:eastAsiaTheme="minorEastAsia" w:hAnsi="Arial" w:cs="Arial"/>
            <w:smallCaps w:val="0"/>
            <w:noProof/>
            <w:sz w:val="22"/>
            <w:szCs w:val="22"/>
            <w:lang w:eastAsia="en-GB" w:bidi="ar-SA"/>
          </w:rPr>
          <w:tab/>
        </w:r>
        <w:r w:rsidR="0047037D" w:rsidRPr="00103C7B">
          <w:rPr>
            <w:rStyle w:val="Hyperlink"/>
            <w:rFonts w:ascii="Arial" w:hAnsi="Arial" w:cs="Arial"/>
            <w:noProof/>
          </w:rPr>
          <w:t>The Application</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_Toc460941258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4</w:t>
        </w:r>
        <w:r w:rsidR="0047037D" w:rsidRPr="00103C7B">
          <w:rPr>
            <w:rFonts w:ascii="Arial" w:hAnsi="Arial" w:cs="Arial"/>
            <w:noProof/>
            <w:webHidden/>
          </w:rPr>
          <w:fldChar w:fldCharType="end"/>
        </w:r>
      </w:hyperlink>
    </w:p>
    <w:p w14:paraId="4D85150D" w14:textId="77777777" w:rsidR="0047037D" w:rsidRPr="00103C7B" w:rsidRDefault="002A45D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0941259" w:history="1">
        <w:r w:rsidR="0047037D" w:rsidRPr="00103C7B">
          <w:rPr>
            <w:rStyle w:val="Hyperlink"/>
            <w:rFonts w:ascii="Arial" w:hAnsi="Arial" w:cs="Arial"/>
            <w:noProof/>
          </w:rPr>
          <w:t>1.3</w:t>
        </w:r>
        <w:r w:rsidR="0047037D" w:rsidRPr="00103C7B">
          <w:rPr>
            <w:rFonts w:ascii="Arial" w:eastAsiaTheme="minorEastAsia" w:hAnsi="Arial" w:cs="Arial"/>
            <w:smallCaps w:val="0"/>
            <w:noProof/>
            <w:sz w:val="22"/>
            <w:szCs w:val="22"/>
            <w:lang w:eastAsia="en-GB" w:bidi="ar-SA"/>
          </w:rPr>
          <w:tab/>
        </w:r>
        <w:r w:rsidR="0047037D" w:rsidRPr="00103C7B">
          <w:rPr>
            <w:rStyle w:val="Hyperlink"/>
            <w:rFonts w:ascii="Arial" w:hAnsi="Arial" w:cs="Arial"/>
            <w:noProof/>
          </w:rPr>
          <w:t>The current Standard</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_Toc460941259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4</w:t>
        </w:r>
        <w:r w:rsidR="0047037D" w:rsidRPr="00103C7B">
          <w:rPr>
            <w:rFonts w:ascii="Arial" w:hAnsi="Arial" w:cs="Arial"/>
            <w:noProof/>
            <w:webHidden/>
          </w:rPr>
          <w:fldChar w:fldCharType="end"/>
        </w:r>
      </w:hyperlink>
    </w:p>
    <w:p w14:paraId="05858132" w14:textId="77777777" w:rsidR="0047037D" w:rsidRPr="00103C7B" w:rsidRDefault="002A45D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0941260" w:history="1">
        <w:r w:rsidR="0047037D" w:rsidRPr="00103C7B">
          <w:rPr>
            <w:rStyle w:val="Hyperlink"/>
            <w:rFonts w:ascii="Arial" w:hAnsi="Arial" w:cs="Arial"/>
            <w:noProof/>
          </w:rPr>
          <w:t>1.3.1</w:t>
        </w:r>
        <w:r w:rsidR="0047037D" w:rsidRPr="00103C7B">
          <w:rPr>
            <w:rFonts w:ascii="Arial" w:eastAsiaTheme="minorEastAsia" w:hAnsi="Arial" w:cs="Arial"/>
            <w:i w:val="0"/>
            <w:iCs w:val="0"/>
            <w:noProof/>
            <w:sz w:val="22"/>
            <w:szCs w:val="22"/>
            <w:lang w:eastAsia="en-GB" w:bidi="ar-SA"/>
          </w:rPr>
          <w:tab/>
        </w:r>
        <w:r w:rsidR="0047037D" w:rsidRPr="00103C7B">
          <w:rPr>
            <w:rStyle w:val="Hyperlink"/>
            <w:rFonts w:ascii="Arial" w:hAnsi="Arial" w:cs="Arial"/>
            <w:noProof/>
          </w:rPr>
          <w:t>Codex standard</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_Toc460941260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5</w:t>
        </w:r>
        <w:r w:rsidR="0047037D" w:rsidRPr="00103C7B">
          <w:rPr>
            <w:rFonts w:ascii="Arial" w:hAnsi="Arial" w:cs="Arial"/>
            <w:noProof/>
            <w:webHidden/>
          </w:rPr>
          <w:fldChar w:fldCharType="end"/>
        </w:r>
      </w:hyperlink>
    </w:p>
    <w:p w14:paraId="6DBA1D19" w14:textId="77777777" w:rsidR="0047037D" w:rsidRPr="00103C7B" w:rsidRDefault="002A45D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0941261" w:history="1">
        <w:r w:rsidR="0047037D" w:rsidRPr="00103C7B">
          <w:rPr>
            <w:rStyle w:val="Hyperlink"/>
            <w:rFonts w:ascii="Arial" w:hAnsi="Arial" w:cs="Arial"/>
            <w:noProof/>
          </w:rPr>
          <w:t>1.3.2</w:t>
        </w:r>
        <w:r w:rsidR="0047037D" w:rsidRPr="00103C7B">
          <w:rPr>
            <w:rFonts w:ascii="Arial" w:eastAsiaTheme="minorEastAsia" w:hAnsi="Arial" w:cs="Arial"/>
            <w:i w:val="0"/>
            <w:iCs w:val="0"/>
            <w:noProof/>
            <w:sz w:val="22"/>
            <w:szCs w:val="22"/>
            <w:lang w:eastAsia="en-GB" w:bidi="ar-SA"/>
          </w:rPr>
          <w:tab/>
        </w:r>
        <w:r w:rsidR="0047037D" w:rsidRPr="00103C7B">
          <w:rPr>
            <w:rStyle w:val="Hyperlink"/>
            <w:rFonts w:ascii="Arial" w:hAnsi="Arial" w:cs="Arial"/>
            <w:noProof/>
          </w:rPr>
          <w:t>The United States Food and Drug Administration</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_Toc460941261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5</w:t>
        </w:r>
        <w:r w:rsidR="0047037D" w:rsidRPr="00103C7B">
          <w:rPr>
            <w:rFonts w:ascii="Arial" w:hAnsi="Arial" w:cs="Arial"/>
            <w:noProof/>
            <w:webHidden/>
          </w:rPr>
          <w:fldChar w:fldCharType="end"/>
        </w:r>
      </w:hyperlink>
    </w:p>
    <w:p w14:paraId="17FB424B" w14:textId="77777777" w:rsidR="0047037D" w:rsidRPr="00103C7B" w:rsidRDefault="002A45D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0941262" w:history="1">
        <w:r w:rsidR="0047037D" w:rsidRPr="00103C7B">
          <w:rPr>
            <w:rStyle w:val="Hyperlink"/>
            <w:rFonts w:ascii="Arial" w:hAnsi="Arial" w:cs="Arial"/>
            <w:noProof/>
          </w:rPr>
          <w:t>1.3.3</w:t>
        </w:r>
        <w:r w:rsidR="0047037D" w:rsidRPr="00103C7B">
          <w:rPr>
            <w:rFonts w:ascii="Arial" w:eastAsiaTheme="minorEastAsia" w:hAnsi="Arial" w:cs="Arial"/>
            <w:i w:val="0"/>
            <w:iCs w:val="0"/>
            <w:noProof/>
            <w:sz w:val="22"/>
            <w:szCs w:val="22"/>
            <w:lang w:eastAsia="en-GB" w:bidi="ar-SA"/>
          </w:rPr>
          <w:tab/>
        </w:r>
        <w:r w:rsidR="0047037D" w:rsidRPr="00103C7B">
          <w:rPr>
            <w:rStyle w:val="Hyperlink"/>
            <w:rFonts w:ascii="Arial" w:hAnsi="Arial" w:cs="Arial"/>
            <w:noProof/>
          </w:rPr>
          <w:t>European Union</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_Toc460941262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5</w:t>
        </w:r>
        <w:r w:rsidR="0047037D" w:rsidRPr="00103C7B">
          <w:rPr>
            <w:rFonts w:ascii="Arial" w:hAnsi="Arial" w:cs="Arial"/>
            <w:noProof/>
            <w:webHidden/>
          </w:rPr>
          <w:fldChar w:fldCharType="end"/>
        </w:r>
      </w:hyperlink>
    </w:p>
    <w:p w14:paraId="1D2AF49D" w14:textId="77777777" w:rsidR="0047037D" w:rsidRPr="00103C7B" w:rsidRDefault="002A45D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0941263" w:history="1">
        <w:r w:rsidR="0047037D" w:rsidRPr="00103C7B">
          <w:rPr>
            <w:rStyle w:val="Hyperlink"/>
            <w:rFonts w:ascii="Arial" w:hAnsi="Arial" w:cs="Arial"/>
            <w:noProof/>
            <w:u w:color="FFFF00"/>
          </w:rPr>
          <w:t>1.4</w:t>
        </w:r>
        <w:r w:rsidR="0047037D" w:rsidRPr="00103C7B">
          <w:rPr>
            <w:rFonts w:ascii="Arial" w:eastAsiaTheme="minorEastAsia" w:hAnsi="Arial" w:cs="Arial"/>
            <w:smallCaps w:val="0"/>
            <w:noProof/>
            <w:sz w:val="22"/>
            <w:szCs w:val="22"/>
            <w:lang w:eastAsia="en-GB" w:bidi="ar-SA"/>
          </w:rPr>
          <w:tab/>
        </w:r>
        <w:r w:rsidR="0047037D" w:rsidRPr="00103C7B">
          <w:rPr>
            <w:rStyle w:val="Hyperlink"/>
            <w:rFonts w:ascii="Arial" w:hAnsi="Arial" w:cs="Arial"/>
            <w:noProof/>
            <w:u w:color="FFFF00"/>
          </w:rPr>
          <w:t>Reasons for accepting Application</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_Toc460941263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5</w:t>
        </w:r>
        <w:r w:rsidR="0047037D" w:rsidRPr="00103C7B">
          <w:rPr>
            <w:rFonts w:ascii="Arial" w:hAnsi="Arial" w:cs="Arial"/>
            <w:noProof/>
            <w:webHidden/>
          </w:rPr>
          <w:fldChar w:fldCharType="end"/>
        </w:r>
      </w:hyperlink>
    </w:p>
    <w:p w14:paraId="13F6FBD0" w14:textId="77777777" w:rsidR="0047037D" w:rsidRPr="00103C7B" w:rsidRDefault="002A45D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0941264" w:history="1">
        <w:r w:rsidR="0047037D" w:rsidRPr="00103C7B">
          <w:rPr>
            <w:rStyle w:val="Hyperlink"/>
            <w:rFonts w:ascii="Arial" w:hAnsi="Arial" w:cs="Arial"/>
            <w:noProof/>
          </w:rPr>
          <w:t>1.5</w:t>
        </w:r>
        <w:r w:rsidR="0047037D" w:rsidRPr="00103C7B">
          <w:rPr>
            <w:rFonts w:ascii="Arial" w:eastAsiaTheme="minorEastAsia" w:hAnsi="Arial" w:cs="Arial"/>
            <w:smallCaps w:val="0"/>
            <w:noProof/>
            <w:sz w:val="22"/>
            <w:szCs w:val="22"/>
            <w:lang w:eastAsia="en-GB" w:bidi="ar-SA"/>
          </w:rPr>
          <w:tab/>
        </w:r>
        <w:r w:rsidR="0047037D" w:rsidRPr="00103C7B">
          <w:rPr>
            <w:rStyle w:val="Hyperlink"/>
            <w:rFonts w:ascii="Arial" w:hAnsi="Arial" w:cs="Arial"/>
            <w:noProof/>
          </w:rPr>
          <w:t>Procedure for assessment</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_Toc460941264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5</w:t>
        </w:r>
        <w:r w:rsidR="0047037D" w:rsidRPr="00103C7B">
          <w:rPr>
            <w:rFonts w:ascii="Arial" w:hAnsi="Arial" w:cs="Arial"/>
            <w:noProof/>
            <w:webHidden/>
          </w:rPr>
          <w:fldChar w:fldCharType="end"/>
        </w:r>
      </w:hyperlink>
    </w:p>
    <w:p w14:paraId="052706B3" w14:textId="77777777" w:rsidR="0047037D" w:rsidRPr="00103C7B" w:rsidRDefault="002A45D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0941265" w:history="1">
        <w:r w:rsidR="0047037D" w:rsidRPr="00103C7B">
          <w:rPr>
            <w:rStyle w:val="Hyperlink"/>
            <w:rFonts w:ascii="Arial" w:hAnsi="Arial" w:cs="Arial"/>
            <w:noProof/>
          </w:rPr>
          <w:t>2</w:t>
        </w:r>
        <w:r w:rsidR="0047037D" w:rsidRPr="00103C7B">
          <w:rPr>
            <w:rFonts w:ascii="Arial" w:eastAsiaTheme="minorEastAsia" w:hAnsi="Arial" w:cs="Arial"/>
            <w:b w:val="0"/>
            <w:bCs w:val="0"/>
            <w:caps w:val="0"/>
            <w:noProof/>
            <w:sz w:val="22"/>
            <w:szCs w:val="22"/>
            <w:lang w:eastAsia="en-GB" w:bidi="ar-SA"/>
          </w:rPr>
          <w:tab/>
        </w:r>
        <w:r w:rsidR="0047037D" w:rsidRPr="00103C7B">
          <w:rPr>
            <w:rStyle w:val="Hyperlink"/>
            <w:rFonts w:ascii="Arial" w:hAnsi="Arial" w:cs="Arial"/>
            <w:noProof/>
          </w:rPr>
          <w:t xml:space="preserve">Summary </w:t>
        </w:r>
        <w:r w:rsidR="0047037D" w:rsidRPr="00103C7B">
          <w:rPr>
            <w:rStyle w:val="Hyperlink"/>
            <w:rFonts w:ascii="Arial" w:hAnsi="Arial" w:cs="Arial"/>
            <w:noProof/>
            <w:u w:color="FFFF00"/>
          </w:rPr>
          <w:t>of</w:t>
        </w:r>
        <w:r w:rsidR="0047037D" w:rsidRPr="00103C7B">
          <w:rPr>
            <w:rStyle w:val="Hyperlink"/>
            <w:rFonts w:ascii="Arial" w:hAnsi="Arial" w:cs="Arial"/>
            <w:noProof/>
          </w:rPr>
          <w:t xml:space="preserve"> the findings</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_Toc460941265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6</w:t>
        </w:r>
        <w:r w:rsidR="0047037D" w:rsidRPr="00103C7B">
          <w:rPr>
            <w:rFonts w:ascii="Arial" w:hAnsi="Arial" w:cs="Arial"/>
            <w:noProof/>
            <w:webHidden/>
          </w:rPr>
          <w:fldChar w:fldCharType="end"/>
        </w:r>
      </w:hyperlink>
    </w:p>
    <w:p w14:paraId="4538B3FB" w14:textId="77777777" w:rsidR="0047037D" w:rsidRPr="00103C7B" w:rsidRDefault="002A45D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0941266" w:history="1">
        <w:r w:rsidR="0047037D" w:rsidRPr="00103C7B">
          <w:rPr>
            <w:rStyle w:val="Hyperlink"/>
            <w:rFonts w:ascii="Arial" w:hAnsi="Arial" w:cs="Arial"/>
            <w:noProof/>
          </w:rPr>
          <w:t>2.1</w:t>
        </w:r>
        <w:r w:rsidR="0047037D" w:rsidRPr="00103C7B">
          <w:rPr>
            <w:rFonts w:ascii="Arial" w:eastAsiaTheme="minorEastAsia" w:hAnsi="Arial" w:cs="Arial"/>
            <w:smallCaps w:val="0"/>
            <w:noProof/>
            <w:sz w:val="22"/>
            <w:szCs w:val="22"/>
            <w:lang w:eastAsia="en-GB" w:bidi="ar-SA"/>
          </w:rPr>
          <w:tab/>
        </w:r>
        <w:r w:rsidR="0047037D" w:rsidRPr="00103C7B">
          <w:rPr>
            <w:rStyle w:val="Hyperlink"/>
            <w:rFonts w:ascii="Arial" w:hAnsi="Arial" w:cs="Arial"/>
            <w:noProof/>
          </w:rPr>
          <w:t>Summary of issues raised in submissions</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_Toc460941266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6</w:t>
        </w:r>
        <w:r w:rsidR="0047037D" w:rsidRPr="00103C7B">
          <w:rPr>
            <w:rFonts w:ascii="Arial" w:hAnsi="Arial" w:cs="Arial"/>
            <w:noProof/>
            <w:webHidden/>
          </w:rPr>
          <w:fldChar w:fldCharType="end"/>
        </w:r>
      </w:hyperlink>
    </w:p>
    <w:p w14:paraId="2B5D6B71" w14:textId="77777777" w:rsidR="0047037D" w:rsidRPr="00103C7B" w:rsidRDefault="002A45D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0941267" w:history="1">
        <w:r w:rsidR="0047037D" w:rsidRPr="00103C7B">
          <w:rPr>
            <w:rStyle w:val="Hyperlink"/>
            <w:rFonts w:ascii="Arial" w:hAnsi="Arial" w:cs="Arial"/>
            <w:noProof/>
          </w:rPr>
          <w:t>2.2</w:t>
        </w:r>
        <w:r w:rsidR="0047037D" w:rsidRPr="00103C7B">
          <w:rPr>
            <w:rFonts w:ascii="Arial" w:eastAsiaTheme="minorEastAsia" w:hAnsi="Arial" w:cs="Arial"/>
            <w:smallCaps w:val="0"/>
            <w:noProof/>
            <w:sz w:val="22"/>
            <w:szCs w:val="22"/>
            <w:lang w:eastAsia="en-GB" w:bidi="ar-SA"/>
          </w:rPr>
          <w:tab/>
        </w:r>
        <w:r w:rsidR="0047037D" w:rsidRPr="00103C7B">
          <w:rPr>
            <w:rStyle w:val="Hyperlink"/>
            <w:rFonts w:ascii="Arial" w:hAnsi="Arial" w:cs="Arial"/>
            <w:noProof/>
          </w:rPr>
          <w:t>Risk assessment</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_Toc460941267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6</w:t>
        </w:r>
        <w:r w:rsidR="0047037D" w:rsidRPr="00103C7B">
          <w:rPr>
            <w:rFonts w:ascii="Arial" w:hAnsi="Arial" w:cs="Arial"/>
            <w:noProof/>
            <w:webHidden/>
          </w:rPr>
          <w:fldChar w:fldCharType="end"/>
        </w:r>
      </w:hyperlink>
    </w:p>
    <w:p w14:paraId="39EF9DED" w14:textId="77777777" w:rsidR="0047037D" w:rsidRPr="00103C7B" w:rsidRDefault="002A45D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0941268" w:history="1">
        <w:r w:rsidR="0047037D" w:rsidRPr="00103C7B">
          <w:rPr>
            <w:rStyle w:val="Hyperlink"/>
            <w:rFonts w:ascii="Arial" w:hAnsi="Arial" w:cs="Arial"/>
            <w:noProof/>
          </w:rPr>
          <w:t>2.3</w:t>
        </w:r>
        <w:r w:rsidR="0047037D" w:rsidRPr="00103C7B">
          <w:rPr>
            <w:rFonts w:ascii="Arial" w:eastAsiaTheme="minorEastAsia" w:hAnsi="Arial" w:cs="Arial"/>
            <w:smallCaps w:val="0"/>
            <w:noProof/>
            <w:sz w:val="22"/>
            <w:szCs w:val="22"/>
            <w:lang w:eastAsia="en-GB" w:bidi="ar-SA"/>
          </w:rPr>
          <w:tab/>
        </w:r>
        <w:r w:rsidR="0047037D" w:rsidRPr="00103C7B">
          <w:rPr>
            <w:rStyle w:val="Hyperlink"/>
            <w:rFonts w:ascii="Arial" w:hAnsi="Arial" w:cs="Arial"/>
            <w:noProof/>
          </w:rPr>
          <w:t>Risk management</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_Toc460941268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6</w:t>
        </w:r>
        <w:r w:rsidR="0047037D" w:rsidRPr="00103C7B">
          <w:rPr>
            <w:rFonts w:ascii="Arial" w:hAnsi="Arial" w:cs="Arial"/>
            <w:noProof/>
            <w:webHidden/>
          </w:rPr>
          <w:fldChar w:fldCharType="end"/>
        </w:r>
      </w:hyperlink>
    </w:p>
    <w:p w14:paraId="388A58B3" w14:textId="77777777" w:rsidR="0047037D" w:rsidRPr="00103C7B" w:rsidRDefault="002A45D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0941269" w:history="1">
        <w:r w:rsidR="0047037D" w:rsidRPr="00103C7B">
          <w:rPr>
            <w:rStyle w:val="Hyperlink"/>
            <w:rFonts w:ascii="Arial" w:hAnsi="Arial" w:cs="Arial"/>
            <w:noProof/>
          </w:rPr>
          <w:t>3</w:t>
        </w:r>
        <w:r w:rsidR="0047037D" w:rsidRPr="00103C7B">
          <w:rPr>
            <w:rFonts w:ascii="Arial" w:eastAsiaTheme="minorEastAsia" w:hAnsi="Arial" w:cs="Arial"/>
            <w:b w:val="0"/>
            <w:bCs w:val="0"/>
            <w:caps w:val="0"/>
            <w:noProof/>
            <w:sz w:val="22"/>
            <w:szCs w:val="22"/>
            <w:lang w:eastAsia="en-GB" w:bidi="ar-SA"/>
          </w:rPr>
          <w:tab/>
        </w:r>
        <w:r w:rsidR="0047037D" w:rsidRPr="00103C7B">
          <w:rPr>
            <w:rStyle w:val="Hyperlink"/>
            <w:rFonts w:ascii="Arial" w:hAnsi="Arial" w:cs="Arial"/>
            <w:noProof/>
          </w:rPr>
          <w:t>Decision</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_Toc460941269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8</w:t>
        </w:r>
        <w:r w:rsidR="0047037D" w:rsidRPr="00103C7B">
          <w:rPr>
            <w:rFonts w:ascii="Arial" w:hAnsi="Arial" w:cs="Arial"/>
            <w:noProof/>
            <w:webHidden/>
          </w:rPr>
          <w:fldChar w:fldCharType="end"/>
        </w:r>
      </w:hyperlink>
    </w:p>
    <w:p w14:paraId="2E79AF6F" w14:textId="77777777" w:rsidR="0047037D" w:rsidRPr="00103C7B" w:rsidRDefault="002A45D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0941270" w:history="1">
        <w:r w:rsidR="0047037D" w:rsidRPr="00103C7B">
          <w:rPr>
            <w:rStyle w:val="Hyperlink"/>
            <w:rFonts w:ascii="Arial" w:hAnsi="Arial" w:cs="Arial"/>
            <w:noProof/>
          </w:rPr>
          <w:t>4</w:t>
        </w:r>
        <w:r w:rsidR="0047037D" w:rsidRPr="00103C7B">
          <w:rPr>
            <w:rFonts w:ascii="Arial" w:eastAsiaTheme="minorEastAsia" w:hAnsi="Arial" w:cs="Arial"/>
            <w:b w:val="0"/>
            <w:bCs w:val="0"/>
            <w:caps w:val="0"/>
            <w:noProof/>
            <w:sz w:val="22"/>
            <w:szCs w:val="22"/>
            <w:lang w:eastAsia="en-GB" w:bidi="ar-SA"/>
          </w:rPr>
          <w:tab/>
        </w:r>
        <w:r w:rsidR="0047037D" w:rsidRPr="00103C7B">
          <w:rPr>
            <w:rStyle w:val="Hyperlink"/>
            <w:rFonts w:ascii="Arial" w:hAnsi="Arial" w:cs="Arial"/>
            <w:noProof/>
          </w:rPr>
          <w:t>Risk communication</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_Toc460941270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8</w:t>
        </w:r>
        <w:r w:rsidR="0047037D" w:rsidRPr="00103C7B">
          <w:rPr>
            <w:rFonts w:ascii="Arial" w:hAnsi="Arial" w:cs="Arial"/>
            <w:noProof/>
            <w:webHidden/>
          </w:rPr>
          <w:fldChar w:fldCharType="end"/>
        </w:r>
      </w:hyperlink>
    </w:p>
    <w:p w14:paraId="0D4BF817" w14:textId="77777777" w:rsidR="0047037D" w:rsidRPr="00103C7B" w:rsidRDefault="002A45D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0941271" w:history="1">
        <w:r w:rsidR="0047037D" w:rsidRPr="00103C7B">
          <w:rPr>
            <w:rStyle w:val="Hyperlink"/>
            <w:rFonts w:ascii="Arial" w:hAnsi="Arial" w:cs="Arial"/>
            <w:noProof/>
          </w:rPr>
          <w:t>4.1</w:t>
        </w:r>
        <w:r w:rsidR="0047037D" w:rsidRPr="00103C7B">
          <w:rPr>
            <w:rFonts w:ascii="Arial" w:eastAsiaTheme="minorEastAsia" w:hAnsi="Arial" w:cs="Arial"/>
            <w:smallCaps w:val="0"/>
            <w:noProof/>
            <w:sz w:val="22"/>
            <w:szCs w:val="22"/>
            <w:lang w:eastAsia="en-GB" w:bidi="ar-SA"/>
          </w:rPr>
          <w:tab/>
        </w:r>
        <w:r w:rsidR="0047037D" w:rsidRPr="00103C7B">
          <w:rPr>
            <w:rStyle w:val="Hyperlink"/>
            <w:rFonts w:ascii="Arial" w:hAnsi="Arial" w:cs="Arial"/>
            <w:noProof/>
          </w:rPr>
          <w:t>Consultation</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_Toc460941271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8</w:t>
        </w:r>
        <w:r w:rsidR="0047037D" w:rsidRPr="00103C7B">
          <w:rPr>
            <w:rFonts w:ascii="Arial" w:hAnsi="Arial" w:cs="Arial"/>
            <w:noProof/>
            <w:webHidden/>
          </w:rPr>
          <w:fldChar w:fldCharType="end"/>
        </w:r>
      </w:hyperlink>
    </w:p>
    <w:p w14:paraId="367937C3" w14:textId="77777777" w:rsidR="0047037D" w:rsidRPr="00103C7B" w:rsidRDefault="002A45D6">
      <w:pPr>
        <w:pStyle w:val="TOC1"/>
        <w:tabs>
          <w:tab w:val="left" w:pos="440"/>
          <w:tab w:val="right" w:leader="dot" w:pos="9060"/>
        </w:tabs>
        <w:rPr>
          <w:rFonts w:ascii="Arial" w:eastAsiaTheme="minorEastAsia" w:hAnsi="Arial" w:cs="Arial"/>
          <w:b w:val="0"/>
          <w:bCs w:val="0"/>
          <w:caps w:val="0"/>
          <w:noProof/>
          <w:sz w:val="22"/>
          <w:szCs w:val="22"/>
          <w:lang w:eastAsia="en-GB" w:bidi="ar-SA"/>
        </w:rPr>
      </w:pPr>
      <w:hyperlink w:anchor="_Toc460941272" w:history="1">
        <w:r w:rsidR="0047037D" w:rsidRPr="00103C7B">
          <w:rPr>
            <w:rStyle w:val="Hyperlink"/>
            <w:rFonts w:ascii="Arial" w:hAnsi="Arial" w:cs="Arial"/>
            <w:noProof/>
          </w:rPr>
          <w:t>5</w:t>
        </w:r>
        <w:r w:rsidR="0047037D" w:rsidRPr="00103C7B">
          <w:rPr>
            <w:rFonts w:ascii="Arial" w:eastAsiaTheme="minorEastAsia" w:hAnsi="Arial" w:cs="Arial"/>
            <w:b w:val="0"/>
            <w:bCs w:val="0"/>
            <w:caps w:val="0"/>
            <w:noProof/>
            <w:sz w:val="22"/>
            <w:szCs w:val="22"/>
            <w:lang w:eastAsia="en-GB" w:bidi="ar-SA"/>
          </w:rPr>
          <w:tab/>
        </w:r>
        <w:r w:rsidR="0047037D" w:rsidRPr="00103C7B">
          <w:rPr>
            <w:rStyle w:val="Hyperlink"/>
            <w:rFonts w:ascii="Arial" w:hAnsi="Arial" w:cs="Arial"/>
            <w:noProof/>
          </w:rPr>
          <w:t>FSANZ Act assessment requirements</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_Toc460941272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8</w:t>
        </w:r>
        <w:r w:rsidR="0047037D" w:rsidRPr="00103C7B">
          <w:rPr>
            <w:rFonts w:ascii="Arial" w:hAnsi="Arial" w:cs="Arial"/>
            <w:noProof/>
            <w:webHidden/>
          </w:rPr>
          <w:fldChar w:fldCharType="end"/>
        </w:r>
      </w:hyperlink>
    </w:p>
    <w:p w14:paraId="635D1086" w14:textId="77777777" w:rsidR="0047037D" w:rsidRPr="00103C7B" w:rsidRDefault="002A45D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0941273" w:history="1">
        <w:r w:rsidR="0047037D" w:rsidRPr="00103C7B">
          <w:rPr>
            <w:rStyle w:val="Hyperlink"/>
            <w:rFonts w:ascii="Arial" w:hAnsi="Arial" w:cs="Arial"/>
            <w:noProof/>
          </w:rPr>
          <w:t>5.1</w:t>
        </w:r>
        <w:r w:rsidR="0047037D" w:rsidRPr="00103C7B">
          <w:rPr>
            <w:rFonts w:ascii="Arial" w:eastAsiaTheme="minorEastAsia" w:hAnsi="Arial" w:cs="Arial"/>
            <w:smallCaps w:val="0"/>
            <w:noProof/>
            <w:sz w:val="22"/>
            <w:szCs w:val="22"/>
            <w:lang w:eastAsia="en-GB" w:bidi="ar-SA"/>
          </w:rPr>
          <w:tab/>
        </w:r>
        <w:r w:rsidR="0047037D" w:rsidRPr="00103C7B">
          <w:rPr>
            <w:rStyle w:val="Hyperlink"/>
            <w:rFonts w:ascii="Arial" w:hAnsi="Arial" w:cs="Arial"/>
            <w:noProof/>
          </w:rPr>
          <w:t>Section 29</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_Toc460941273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8</w:t>
        </w:r>
        <w:r w:rsidR="0047037D" w:rsidRPr="00103C7B">
          <w:rPr>
            <w:rFonts w:ascii="Arial" w:hAnsi="Arial" w:cs="Arial"/>
            <w:noProof/>
            <w:webHidden/>
          </w:rPr>
          <w:fldChar w:fldCharType="end"/>
        </w:r>
      </w:hyperlink>
    </w:p>
    <w:p w14:paraId="044FD8F9" w14:textId="77777777" w:rsidR="0047037D" w:rsidRPr="00103C7B" w:rsidRDefault="002A45D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0941274" w:history="1">
        <w:r w:rsidR="0047037D" w:rsidRPr="00103C7B">
          <w:rPr>
            <w:rStyle w:val="Hyperlink"/>
            <w:rFonts w:ascii="Arial" w:hAnsi="Arial" w:cs="Arial"/>
            <w:noProof/>
          </w:rPr>
          <w:t>5.1.1</w:t>
        </w:r>
        <w:r w:rsidR="0047037D" w:rsidRPr="00103C7B">
          <w:rPr>
            <w:rFonts w:ascii="Arial" w:eastAsiaTheme="minorEastAsia" w:hAnsi="Arial" w:cs="Arial"/>
            <w:i w:val="0"/>
            <w:iCs w:val="0"/>
            <w:noProof/>
            <w:sz w:val="22"/>
            <w:szCs w:val="22"/>
            <w:lang w:eastAsia="en-GB" w:bidi="ar-SA"/>
          </w:rPr>
          <w:tab/>
        </w:r>
        <w:r w:rsidR="0047037D" w:rsidRPr="00103C7B">
          <w:rPr>
            <w:rStyle w:val="Hyperlink"/>
            <w:rFonts w:ascii="Arial" w:hAnsi="Arial" w:cs="Arial"/>
            <w:noProof/>
          </w:rPr>
          <w:t>Cost benefit analysis</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_Toc460941274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9</w:t>
        </w:r>
        <w:r w:rsidR="0047037D" w:rsidRPr="00103C7B">
          <w:rPr>
            <w:rFonts w:ascii="Arial" w:hAnsi="Arial" w:cs="Arial"/>
            <w:noProof/>
            <w:webHidden/>
          </w:rPr>
          <w:fldChar w:fldCharType="end"/>
        </w:r>
      </w:hyperlink>
    </w:p>
    <w:p w14:paraId="06437857" w14:textId="77777777" w:rsidR="0047037D" w:rsidRPr="00103C7B" w:rsidRDefault="002A45D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0941275" w:history="1">
        <w:r w:rsidR="0047037D" w:rsidRPr="00103C7B">
          <w:rPr>
            <w:rStyle w:val="Hyperlink"/>
            <w:rFonts w:ascii="Arial" w:hAnsi="Arial" w:cs="Arial"/>
            <w:noProof/>
          </w:rPr>
          <w:t>5.1.2</w:t>
        </w:r>
        <w:r w:rsidR="0047037D" w:rsidRPr="00103C7B">
          <w:rPr>
            <w:rFonts w:ascii="Arial" w:eastAsiaTheme="minorEastAsia" w:hAnsi="Arial" w:cs="Arial"/>
            <w:i w:val="0"/>
            <w:iCs w:val="0"/>
            <w:noProof/>
            <w:sz w:val="22"/>
            <w:szCs w:val="22"/>
            <w:lang w:eastAsia="en-GB" w:bidi="ar-SA"/>
          </w:rPr>
          <w:tab/>
        </w:r>
        <w:r w:rsidR="0047037D" w:rsidRPr="00103C7B">
          <w:rPr>
            <w:rStyle w:val="Hyperlink"/>
            <w:rFonts w:ascii="Arial" w:hAnsi="Arial" w:cs="Arial"/>
            <w:noProof/>
          </w:rPr>
          <w:t>Other measures</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_Toc460941275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9</w:t>
        </w:r>
        <w:r w:rsidR="0047037D" w:rsidRPr="00103C7B">
          <w:rPr>
            <w:rFonts w:ascii="Arial" w:hAnsi="Arial" w:cs="Arial"/>
            <w:noProof/>
            <w:webHidden/>
          </w:rPr>
          <w:fldChar w:fldCharType="end"/>
        </w:r>
      </w:hyperlink>
    </w:p>
    <w:p w14:paraId="656C57B4" w14:textId="77777777" w:rsidR="0047037D" w:rsidRPr="00103C7B" w:rsidRDefault="002A45D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0941276" w:history="1">
        <w:r w:rsidR="0047037D" w:rsidRPr="00103C7B">
          <w:rPr>
            <w:rStyle w:val="Hyperlink"/>
            <w:rFonts w:ascii="Arial" w:hAnsi="Arial" w:cs="Arial"/>
            <w:noProof/>
          </w:rPr>
          <w:t>5.1.3</w:t>
        </w:r>
        <w:r w:rsidR="0047037D" w:rsidRPr="00103C7B">
          <w:rPr>
            <w:rFonts w:ascii="Arial" w:eastAsiaTheme="minorEastAsia" w:hAnsi="Arial" w:cs="Arial"/>
            <w:i w:val="0"/>
            <w:iCs w:val="0"/>
            <w:noProof/>
            <w:sz w:val="22"/>
            <w:szCs w:val="22"/>
            <w:lang w:eastAsia="en-GB" w:bidi="ar-SA"/>
          </w:rPr>
          <w:tab/>
        </w:r>
        <w:r w:rsidR="0047037D" w:rsidRPr="00103C7B">
          <w:rPr>
            <w:rStyle w:val="Hyperlink"/>
            <w:rFonts w:ascii="Arial" w:hAnsi="Arial" w:cs="Arial"/>
            <w:noProof/>
          </w:rPr>
          <w:t>Any relevant New Zealand standards</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_Toc460941276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9</w:t>
        </w:r>
        <w:r w:rsidR="0047037D" w:rsidRPr="00103C7B">
          <w:rPr>
            <w:rFonts w:ascii="Arial" w:hAnsi="Arial" w:cs="Arial"/>
            <w:noProof/>
            <w:webHidden/>
          </w:rPr>
          <w:fldChar w:fldCharType="end"/>
        </w:r>
      </w:hyperlink>
    </w:p>
    <w:p w14:paraId="086D73C7" w14:textId="77777777" w:rsidR="0047037D" w:rsidRPr="00103C7B" w:rsidRDefault="002A45D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0941277" w:history="1">
        <w:r w:rsidR="0047037D" w:rsidRPr="00103C7B">
          <w:rPr>
            <w:rStyle w:val="Hyperlink"/>
            <w:rFonts w:ascii="Arial" w:hAnsi="Arial" w:cs="Arial"/>
            <w:noProof/>
          </w:rPr>
          <w:t>5.1.4</w:t>
        </w:r>
        <w:r w:rsidR="0047037D" w:rsidRPr="00103C7B">
          <w:rPr>
            <w:rFonts w:ascii="Arial" w:eastAsiaTheme="minorEastAsia" w:hAnsi="Arial" w:cs="Arial"/>
            <w:i w:val="0"/>
            <w:iCs w:val="0"/>
            <w:noProof/>
            <w:sz w:val="22"/>
            <w:szCs w:val="22"/>
            <w:lang w:eastAsia="en-GB" w:bidi="ar-SA"/>
          </w:rPr>
          <w:tab/>
        </w:r>
        <w:r w:rsidR="0047037D" w:rsidRPr="00103C7B">
          <w:rPr>
            <w:rStyle w:val="Hyperlink"/>
            <w:rFonts w:ascii="Arial" w:hAnsi="Arial" w:cs="Arial"/>
            <w:noProof/>
          </w:rPr>
          <w:t>Any other relevant matters</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_Toc460941277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9</w:t>
        </w:r>
        <w:r w:rsidR="0047037D" w:rsidRPr="00103C7B">
          <w:rPr>
            <w:rFonts w:ascii="Arial" w:hAnsi="Arial" w:cs="Arial"/>
            <w:noProof/>
            <w:webHidden/>
          </w:rPr>
          <w:fldChar w:fldCharType="end"/>
        </w:r>
      </w:hyperlink>
    </w:p>
    <w:p w14:paraId="69FF5588" w14:textId="77777777" w:rsidR="0047037D" w:rsidRPr="00103C7B" w:rsidRDefault="002A45D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0941278" w:history="1">
        <w:r w:rsidR="0047037D" w:rsidRPr="00103C7B">
          <w:rPr>
            <w:rStyle w:val="Hyperlink"/>
            <w:rFonts w:ascii="Arial" w:hAnsi="Arial" w:cs="Arial"/>
            <w:noProof/>
          </w:rPr>
          <w:t>5.2</w:t>
        </w:r>
        <w:r w:rsidR="0047037D" w:rsidRPr="00103C7B">
          <w:rPr>
            <w:rFonts w:ascii="Arial" w:eastAsiaTheme="minorEastAsia" w:hAnsi="Arial" w:cs="Arial"/>
            <w:smallCaps w:val="0"/>
            <w:noProof/>
            <w:sz w:val="22"/>
            <w:szCs w:val="22"/>
            <w:lang w:eastAsia="en-GB" w:bidi="ar-SA"/>
          </w:rPr>
          <w:tab/>
        </w:r>
        <w:r w:rsidR="0047037D" w:rsidRPr="00103C7B">
          <w:rPr>
            <w:rStyle w:val="Hyperlink"/>
            <w:rFonts w:ascii="Arial" w:hAnsi="Arial" w:cs="Arial"/>
            <w:noProof/>
          </w:rPr>
          <w:t>Subsection 18(1)</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_Toc460941278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9</w:t>
        </w:r>
        <w:r w:rsidR="0047037D" w:rsidRPr="00103C7B">
          <w:rPr>
            <w:rFonts w:ascii="Arial" w:hAnsi="Arial" w:cs="Arial"/>
            <w:noProof/>
            <w:webHidden/>
          </w:rPr>
          <w:fldChar w:fldCharType="end"/>
        </w:r>
      </w:hyperlink>
    </w:p>
    <w:p w14:paraId="0381441C" w14:textId="77777777" w:rsidR="0047037D" w:rsidRPr="00103C7B" w:rsidRDefault="002A45D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0941279" w:history="1">
        <w:r w:rsidR="0047037D" w:rsidRPr="00103C7B">
          <w:rPr>
            <w:rStyle w:val="Hyperlink"/>
            <w:rFonts w:ascii="Arial" w:hAnsi="Arial" w:cs="Arial"/>
            <w:noProof/>
          </w:rPr>
          <w:t>5.2.1</w:t>
        </w:r>
        <w:r w:rsidR="0047037D" w:rsidRPr="00103C7B">
          <w:rPr>
            <w:rFonts w:ascii="Arial" w:eastAsiaTheme="minorEastAsia" w:hAnsi="Arial" w:cs="Arial"/>
            <w:i w:val="0"/>
            <w:iCs w:val="0"/>
            <w:noProof/>
            <w:sz w:val="22"/>
            <w:szCs w:val="22"/>
            <w:lang w:eastAsia="en-GB" w:bidi="ar-SA"/>
          </w:rPr>
          <w:tab/>
        </w:r>
        <w:r w:rsidR="0047037D" w:rsidRPr="00103C7B">
          <w:rPr>
            <w:rStyle w:val="Hyperlink"/>
            <w:rFonts w:ascii="Arial" w:hAnsi="Arial" w:cs="Arial"/>
            <w:noProof/>
          </w:rPr>
          <w:t>Protection of public health and safety</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_Toc460941279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9</w:t>
        </w:r>
        <w:r w:rsidR="0047037D" w:rsidRPr="00103C7B">
          <w:rPr>
            <w:rFonts w:ascii="Arial" w:hAnsi="Arial" w:cs="Arial"/>
            <w:noProof/>
            <w:webHidden/>
          </w:rPr>
          <w:fldChar w:fldCharType="end"/>
        </w:r>
      </w:hyperlink>
    </w:p>
    <w:p w14:paraId="111EA9C3" w14:textId="123C4C92" w:rsidR="0047037D" w:rsidRPr="00103C7B" w:rsidRDefault="002A45D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0941280" w:history="1">
        <w:r w:rsidR="0047037D" w:rsidRPr="00103C7B">
          <w:rPr>
            <w:rStyle w:val="Hyperlink"/>
            <w:rFonts w:ascii="Arial" w:hAnsi="Arial" w:cs="Arial"/>
            <w:noProof/>
          </w:rPr>
          <w:t>5.2.2</w:t>
        </w:r>
        <w:r w:rsidR="0047037D" w:rsidRPr="00103C7B">
          <w:rPr>
            <w:rFonts w:ascii="Arial" w:eastAsiaTheme="minorEastAsia" w:hAnsi="Arial" w:cs="Arial"/>
            <w:i w:val="0"/>
            <w:iCs w:val="0"/>
            <w:noProof/>
            <w:sz w:val="22"/>
            <w:szCs w:val="22"/>
            <w:lang w:eastAsia="en-GB" w:bidi="ar-SA"/>
          </w:rPr>
          <w:tab/>
        </w:r>
        <w:r w:rsidR="0047037D" w:rsidRPr="00103C7B">
          <w:rPr>
            <w:rStyle w:val="Hyperlink"/>
            <w:rFonts w:ascii="Arial" w:hAnsi="Arial" w:cs="Arial"/>
            <w:noProof/>
          </w:rPr>
          <w:t>The provision of adequate information relating to food to enable consumers to make informed choices</w:t>
        </w:r>
        <w:r w:rsidR="0047037D" w:rsidRPr="00103C7B">
          <w:rPr>
            <w:rFonts w:ascii="Arial" w:hAnsi="Arial" w:cs="Arial"/>
            <w:noProof/>
            <w:webHidden/>
          </w:rPr>
          <w:tab/>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_Toc460941280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9</w:t>
        </w:r>
        <w:r w:rsidR="0047037D" w:rsidRPr="00103C7B">
          <w:rPr>
            <w:rFonts w:ascii="Arial" w:hAnsi="Arial" w:cs="Arial"/>
            <w:noProof/>
            <w:webHidden/>
          </w:rPr>
          <w:fldChar w:fldCharType="end"/>
        </w:r>
      </w:hyperlink>
    </w:p>
    <w:p w14:paraId="60634B2B" w14:textId="77777777" w:rsidR="0047037D" w:rsidRPr="00103C7B" w:rsidRDefault="002A45D6">
      <w:pPr>
        <w:pStyle w:val="TOC3"/>
        <w:tabs>
          <w:tab w:val="left" w:pos="1100"/>
          <w:tab w:val="right" w:leader="dot" w:pos="9060"/>
        </w:tabs>
        <w:rPr>
          <w:rFonts w:ascii="Arial" w:eastAsiaTheme="minorEastAsia" w:hAnsi="Arial" w:cs="Arial"/>
          <w:i w:val="0"/>
          <w:iCs w:val="0"/>
          <w:noProof/>
          <w:sz w:val="22"/>
          <w:szCs w:val="22"/>
          <w:lang w:eastAsia="en-GB" w:bidi="ar-SA"/>
        </w:rPr>
      </w:pPr>
      <w:hyperlink w:anchor="_Toc460941281" w:history="1">
        <w:r w:rsidR="0047037D" w:rsidRPr="00103C7B">
          <w:rPr>
            <w:rStyle w:val="Hyperlink"/>
            <w:rFonts w:ascii="Arial" w:hAnsi="Arial" w:cs="Arial"/>
            <w:noProof/>
          </w:rPr>
          <w:t>5.2.3</w:t>
        </w:r>
        <w:r w:rsidR="0047037D" w:rsidRPr="00103C7B">
          <w:rPr>
            <w:rFonts w:ascii="Arial" w:eastAsiaTheme="minorEastAsia" w:hAnsi="Arial" w:cs="Arial"/>
            <w:i w:val="0"/>
            <w:iCs w:val="0"/>
            <w:noProof/>
            <w:sz w:val="22"/>
            <w:szCs w:val="22"/>
            <w:lang w:eastAsia="en-GB" w:bidi="ar-SA"/>
          </w:rPr>
          <w:tab/>
        </w:r>
        <w:r w:rsidR="0047037D" w:rsidRPr="00103C7B">
          <w:rPr>
            <w:rStyle w:val="Hyperlink"/>
            <w:rFonts w:ascii="Arial" w:hAnsi="Arial" w:cs="Arial"/>
            <w:noProof/>
          </w:rPr>
          <w:t>The prevention of misleading or deceptive conduct</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_Toc460941281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9</w:t>
        </w:r>
        <w:r w:rsidR="0047037D" w:rsidRPr="00103C7B">
          <w:rPr>
            <w:rFonts w:ascii="Arial" w:hAnsi="Arial" w:cs="Arial"/>
            <w:noProof/>
            <w:webHidden/>
          </w:rPr>
          <w:fldChar w:fldCharType="end"/>
        </w:r>
      </w:hyperlink>
    </w:p>
    <w:p w14:paraId="5C47ACB3" w14:textId="77777777" w:rsidR="0047037D" w:rsidRPr="00103C7B" w:rsidRDefault="002A45D6">
      <w:pPr>
        <w:pStyle w:val="TOC2"/>
        <w:tabs>
          <w:tab w:val="left" w:pos="880"/>
          <w:tab w:val="right" w:leader="dot" w:pos="9060"/>
        </w:tabs>
        <w:rPr>
          <w:rFonts w:ascii="Arial" w:eastAsiaTheme="minorEastAsia" w:hAnsi="Arial" w:cs="Arial"/>
          <w:smallCaps w:val="0"/>
          <w:noProof/>
          <w:sz w:val="22"/>
          <w:szCs w:val="22"/>
          <w:lang w:eastAsia="en-GB" w:bidi="ar-SA"/>
        </w:rPr>
      </w:pPr>
      <w:hyperlink w:anchor="_Toc460941282" w:history="1">
        <w:r w:rsidR="0047037D" w:rsidRPr="00103C7B">
          <w:rPr>
            <w:rStyle w:val="Hyperlink"/>
            <w:rFonts w:ascii="Arial" w:hAnsi="Arial" w:cs="Arial"/>
            <w:noProof/>
          </w:rPr>
          <w:t>5.3</w:t>
        </w:r>
        <w:r w:rsidR="0047037D" w:rsidRPr="00103C7B">
          <w:rPr>
            <w:rFonts w:ascii="Arial" w:eastAsiaTheme="minorEastAsia" w:hAnsi="Arial" w:cs="Arial"/>
            <w:smallCaps w:val="0"/>
            <w:noProof/>
            <w:sz w:val="22"/>
            <w:szCs w:val="22"/>
            <w:lang w:eastAsia="en-GB" w:bidi="ar-SA"/>
          </w:rPr>
          <w:tab/>
        </w:r>
        <w:r w:rsidR="0047037D" w:rsidRPr="00103C7B">
          <w:rPr>
            <w:rStyle w:val="Hyperlink"/>
            <w:rFonts w:ascii="Arial" w:hAnsi="Arial" w:cs="Arial"/>
            <w:noProof/>
          </w:rPr>
          <w:t>Subsection 18(2) considerations</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_Toc460941282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9</w:t>
        </w:r>
        <w:r w:rsidR="0047037D" w:rsidRPr="00103C7B">
          <w:rPr>
            <w:rFonts w:ascii="Arial" w:hAnsi="Arial" w:cs="Arial"/>
            <w:noProof/>
            <w:webHidden/>
          </w:rPr>
          <w:fldChar w:fldCharType="end"/>
        </w:r>
      </w:hyperlink>
    </w:p>
    <w:p w14:paraId="44B94770" w14:textId="77777777" w:rsidR="0047037D" w:rsidRPr="00103C7B" w:rsidRDefault="002A45D6">
      <w:pPr>
        <w:pStyle w:val="TOC2"/>
        <w:tabs>
          <w:tab w:val="right" w:leader="dot" w:pos="9060"/>
        </w:tabs>
        <w:rPr>
          <w:rFonts w:ascii="Arial" w:eastAsiaTheme="minorEastAsia" w:hAnsi="Arial" w:cs="Arial"/>
          <w:smallCaps w:val="0"/>
          <w:noProof/>
          <w:sz w:val="22"/>
          <w:szCs w:val="22"/>
          <w:lang w:eastAsia="en-GB" w:bidi="ar-SA"/>
        </w:rPr>
      </w:pPr>
      <w:hyperlink w:anchor="_Toc460941283" w:history="1">
        <w:r w:rsidR="0047037D" w:rsidRPr="00103C7B">
          <w:rPr>
            <w:rStyle w:val="Hyperlink"/>
            <w:rFonts w:ascii="Arial" w:hAnsi="Arial" w:cs="Arial"/>
            <w:noProof/>
          </w:rPr>
          <w:t xml:space="preserve">Attachment A – Approved draft variation to the </w:t>
        </w:r>
        <w:r w:rsidR="0047037D" w:rsidRPr="00103C7B">
          <w:rPr>
            <w:rStyle w:val="Hyperlink"/>
            <w:rFonts w:ascii="Arial" w:hAnsi="Arial" w:cs="Arial"/>
            <w:i/>
            <w:noProof/>
          </w:rPr>
          <w:t>Australia New Zealand Food Standards Code</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_Toc460941283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11</w:t>
        </w:r>
        <w:r w:rsidR="0047037D" w:rsidRPr="00103C7B">
          <w:rPr>
            <w:rFonts w:ascii="Arial" w:hAnsi="Arial" w:cs="Arial"/>
            <w:noProof/>
            <w:webHidden/>
          </w:rPr>
          <w:fldChar w:fldCharType="end"/>
        </w:r>
      </w:hyperlink>
    </w:p>
    <w:p w14:paraId="12F6698F" w14:textId="77777777" w:rsidR="0047037D" w:rsidRPr="00103C7B" w:rsidRDefault="002A45D6">
      <w:pPr>
        <w:pStyle w:val="TOC2"/>
        <w:tabs>
          <w:tab w:val="right" w:leader="dot" w:pos="9060"/>
        </w:tabs>
        <w:rPr>
          <w:rFonts w:ascii="Arial" w:eastAsiaTheme="minorEastAsia" w:hAnsi="Arial" w:cs="Arial"/>
          <w:smallCaps w:val="0"/>
          <w:noProof/>
          <w:sz w:val="22"/>
          <w:szCs w:val="22"/>
          <w:lang w:eastAsia="en-GB" w:bidi="ar-SA"/>
        </w:rPr>
      </w:pPr>
      <w:hyperlink w:anchor="_Toc460941284" w:history="1">
        <w:r w:rsidR="0047037D" w:rsidRPr="00103C7B">
          <w:rPr>
            <w:rStyle w:val="Hyperlink"/>
            <w:rFonts w:ascii="Arial" w:hAnsi="Arial" w:cs="Arial"/>
            <w:noProof/>
          </w:rPr>
          <w:t>Attachment B – Explanatory Statement</w:t>
        </w:r>
        <w:r w:rsidR="0047037D" w:rsidRPr="00103C7B">
          <w:rPr>
            <w:rFonts w:ascii="Arial" w:hAnsi="Arial" w:cs="Arial"/>
            <w:noProof/>
            <w:webHidden/>
          </w:rPr>
          <w:tab/>
        </w:r>
        <w:r w:rsidR="0047037D" w:rsidRPr="00103C7B">
          <w:rPr>
            <w:rFonts w:ascii="Arial" w:hAnsi="Arial" w:cs="Arial"/>
            <w:noProof/>
            <w:webHidden/>
          </w:rPr>
          <w:fldChar w:fldCharType="begin"/>
        </w:r>
        <w:r w:rsidR="0047037D" w:rsidRPr="00103C7B">
          <w:rPr>
            <w:rFonts w:ascii="Arial" w:hAnsi="Arial" w:cs="Arial"/>
            <w:noProof/>
            <w:webHidden/>
          </w:rPr>
          <w:instrText xml:space="preserve"> PAGEREF _Toc460941284 \h </w:instrText>
        </w:r>
        <w:r w:rsidR="0047037D" w:rsidRPr="00103C7B">
          <w:rPr>
            <w:rFonts w:ascii="Arial" w:hAnsi="Arial" w:cs="Arial"/>
            <w:noProof/>
            <w:webHidden/>
          </w:rPr>
        </w:r>
        <w:r w:rsidR="0047037D" w:rsidRPr="00103C7B">
          <w:rPr>
            <w:rFonts w:ascii="Arial" w:hAnsi="Arial" w:cs="Arial"/>
            <w:noProof/>
            <w:webHidden/>
          </w:rPr>
          <w:fldChar w:fldCharType="separate"/>
        </w:r>
        <w:r w:rsidR="00FB7D34">
          <w:rPr>
            <w:rFonts w:ascii="Arial" w:hAnsi="Arial" w:cs="Arial"/>
            <w:noProof/>
            <w:webHidden/>
          </w:rPr>
          <w:t>13</w:t>
        </w:r>
        <w:r w:rsidR="0047037D" w:rsidRPr="00103C7B">
          <w:rPr>
            <w:rFonts w:ascii="Arial" w:hAnsi="Arial" w:cs="Arial"/>
            <w:noProof/>
            <w:webHidden/>
          </w:rPr>
          <w:fldChar w:fldCharType="end"/>
        </w:r>
      </w:hyperlink>
    </w:p>
    <w:p w14:paraId="255A8343" w14:textId="77777777" w:rsidR="0012388D" w:rsidRDefault="00B55714" w:rsidP="00C91C02">
      <w:r w:rsidRPr="00103C7B">
        <w:rPr>
          <w:rFonts w:cs="Arial"/>
          <w:sz w:val="20"/>
          <w:szCs w:val="20"/>
        </w:rPr>
        <w:fldChar w:fldCharType="end"/>
      </w:r>
    </w:p>
    <w:p w14:paraId="1C6A74D0" w14:textId="77777777" w:rsidR="007F7BF7" w:rsidRDefault="007F7BF7" w:rsidP="00CA5734"/>
    <w:p w14:paraId="3B101060" w14:textId="4B0C6C19" w:rsidR="00A671E6" w:rsidRPr="000B427A" w:rsidRDefault="00A671E6" w:rsidP="00A671E6">
      <w:pPr>
        <w:rPr>
          <w:b/>
          <w:bCs/>
        </w:rPr>
      </w:pPr>
      <w:r w:rsidRPr="000B427A">
        <w:rPr>
          <w:b/>
          <w:bCs/>
        </w:rPr>
        <w:t>S</w:t>
      </w:r>
      <w:r w:rsidR="007C22CB" w:rsidRPr="000B427A">
        <w:rPr>
          <w:b/>
          <w:bCs/>
        </w:rPr>
        <w:t>upporting</w:t>
      </w:r>
      <w:r w:rsidR="00224E3B" w:rsidRPr="000B427A">
        <w:rPr>
          <w:b/>
          <w:bCs/>
        </w:rPr>
        <w:t xml:space="preserve"> document</w:t>
      </w:r>
      <w:r w:rsidRPr="000B427A">
        <w:rPr>
          <w:b/>
          <w:bCs/>
        </w:rPr>
        <w:t xml:space="preserve"> </w:t>
      </w:r>
    </w:p>
    <w:p w14:paraId="72511148" w14:textId="77777777" w:rsidR="00A671E6" w:rsidRPr="0089264A" w:rsidRDefault="00A671E6" w:rsidP="00A671E6">
      <w:pPr>
        <w:rPr>
          <w:szCs w:val="22"/>
        </w:rPr>
      </w:pPr>
    </w:p>
    <w:p w14:paraId="705ED163" w14:textId="3BC9DDC5" w:rsidR="00D64234" w:rsidRPr="00103C7B" w:rsidRDefault="007A53BF" w:rsidP="00D64234">
      <w:pPr>
        <w:rPr>
          <w:szCs w:val="22"/>
        </w:rPr>
      </w:pPr>
      <w:r w:rsidRPr="0089264A">
        <w:rPr>
          <w:szCs w:val="22"/>
        </w:rPr>
        <w:t xml:space="preserve">The following </w:t>
      </w:r>
      <w:r>
        <w:rPr>
          <w:szCs w:val="22"/>
        </w:rPr>
        <w:t>document</w:t>
      </w:r>
      <w:r w:rsidRPr="0089264A">
        <w:rPr>
          <w:szCs w:val="22"/>
        </w:rPr>
        <w:t xml:space="preserve"> </w:t>
      </w:r>
      <w:r>
        <w:rPr>
          <w:szCs w:val="22"/>
        </w:rPr>
        <w:t xml:space="preserve">which informed the assessment of this </w:t>
      </w:r>
      <w:r w:rsidRPr="00D64234">
        <w:rPr>
          <w:szCs w:val="22"/>
        </w:rPr>
        <w:t xml:space="preserve">Application </w:t>
      </w:r>
      <w:r w:rsidR="0023073E">
        <w:rPr>
          <w:szCs w:val="22"/>
        </w:rPr>
        <w:t>is</w:t>
      </w:r>
      <w:r w:rsidRPr="0089264A">
        <w:rPr>
          <w:szCs w:val="22"/>
        </w:rPr>
        <w:t xml:space="preserve"> available on the FSANZ website at</w:t>
      </w:r>
      <w:r w:rsidRPr="0089264A">
        <w:rPr>
          <w:color w:val="FF0000"/>
          <w:szCs w:val="22"/>
        </w:rPr>
        <w:t xml:space="preserve"> </w:t>
      </w:r>
      <w:hyperlink r:id="rId16" w:history="1">
        <w:r w:rsidR="00D64234" w:rsidRPr="00D64234">
          <w:rPr>
            <w:color w:val="3333FF"/>
            <w:szCs w:val="22"/>
            <w:u w:val="single"/>
          </w:rPr>
          <w:t>http://www.foodstandards.govt.nz/code/applications/Pages/A1113Propionates-in-Processed-Meat.aspx</w:t>
        </w:r>
      </w:hyperlink>
      <w:r w:rsidR="00103C7B" w:rsidRPr="00103C7B">
        <w:rPr>
          <w:szCs w:val="22"/>
        </w:rPr>
        <w:t>:</w:t>
      </w:r>
    </w:p>
    <w:p w14:paraId="442ADEF6" w14:textId="40BB66AD" w:rsidR="007A53BF" w:rsidRPr="0089264A" w:rsidRDefault="007A53BF" w:rsidP="007A53BF">
      <w:pPr>
        <w:rPr>
          <w:szCs w:val="22"/>
        </w:rPr>
      </w:pPr>
    </w:p>
    <w:p w14:paraId="3BB86F6A" w14:textId="1664D0A9" w:rsidR="007A53BF" w:rsidRPr="00D64234" w:rsidRDefault="007A53BF" w:rsidP="007A53BF">
      <w:pPr>
        <w:ind w:left="1134" w:hanging="1134"/>
      </w:pPr>
      <w:r w:rsidRPr="00D64234">
        <w:t>SD1</w:t>
      </w:r>
      <w:r w:rsidRPr="00D64234">
        <w:tab/>
      </w:r>
      <w:r w:rsidR="00D64234" w:rsidRPr="00D64234">
        <w:t>Risk and Technical Assessment</w:t>
      </w:r>
      <w:r w:rsidR="00E5021C">
        <w:t xml:space="preserve"> Report</w:t>
      </w:r>
    </w:p>
    <w:p w14:paraId="2D970C80" w14:textId="77777777" w:rsidR="003C4969" w:rsidRPr="00CA5734" w:rsidRDefault="00D15A08" w:rsidP="009A2699">
      <w:pPr>
        <w:spacing w:line="280" w:lineRule="exact"/>
        <w:ind w:left="851" w:hanging="851"/>
        <w:outlineLvl w:val="3"/>
        <w:rPr>
          <w:vanish/>
          <w:color w:val="FF0000"/>
        </w:rPr>
      </w:pPr>
      <w:r w:rsidRPr="00CA5734">
        <w:br w:type="page"/>
      </w:r>
    </w:p>
    <w:p w14:paraId="16C75FEC" w14:textId="77777777" w:rsidR="007A53BF" w:rsidRPr="007A53BF" w:rsidRDefault="007A53BF" w:rsidP="00CE59AA">
      <w:pPr>
        <w:pStyle w:val="Heading1"/>
      </w:pPr>
      <w:bookmarkStart w:id="1" w:name="_Toc286391001"/>
      <w:bookmarkStart w:id="2" w:name="_Toc300933414"/>
      <w:bookmarkStart w:id="3" w:name="_Toc370223463"/>
      <w:bookmarkStart w:id="4" w:name="_Toc460941255"/>
      <w:bookmarkStart w:id="5" w:name="_Toc11735627"/>
      <w:bookmarkStart w:id="6" w:name="_Toc29883110"/>
      <w:bookmarkStart w:id="7" w:name="_Toc41906797"/>
      <w:bookmarkStart w:id="8" w:name="_Toc41907544"/>
      <w:bookmarkStart w:id="9" w:name="_Toc120358575"/>
      <w:r w:rsidRPr="007A53BF">
        <w:t>Executive summary</w:t>
      </w:r>
      <w:bookmarkEnd w:id="1"/>
      <w:bookmarkEnd w:id="2"/>
      <w:bookmarkEnd w:id="3"/>
      <w:bookmarkEnd w:id="4"/>
    </w:p>
    <w:p w14:paraId="67102088" w14:textId="5239223C" w:rsidR="00A316F6" w:rsidRPr="00A316F6" w:rsidRDefault="00A316F6" w:rsidP="00A316F6">
      <w:proofErr w:type="spellStart"/>
      <w:r w:rsidRPr="00A316F6">
        <w:t>Axiome</w:t>
      </w:r>
      <w:proofErr w:type="spellEnd"/>
      <w:r w:rsidRPr="00A316F6">
        <w:t xml:space="preserve"> Pty Ltd, on behalf of </w:t>
      </w:r>
      <w:proofErr w:type="spellStart"/>
      <w:r w:rsidRPr="00A316F6">
        <w:t>Kemin</w:t>
      </w:r>
      <w:proofErr w:type="spellEnd"/>
      <w:r w:rsidRPr="00A316F6">
        <w:t xml:space="preserve"> Industries (Asia) Pte Ltd, submitted an Application seeking permission to extend the use of propionic acid and its calcium, sodium and potassium salts (hereon collectively referred to as “propionates”</w:t>
      </w:r>
      <w:r w:rsidRPr="00A316F6">
        <w:rPr>
          <w:vertAlign w:val="superscript"/>
        </w:rPr>
        <w:footnoteReference w:id="2"/>
      </w:r>
      <w:r w:rsidRPr="00A316F6">
        <w:t xml:space="preserve">), to processed and processed </w:t>
      </w:r>
      <w:proofErr w:type="spellStart"/>
      <w:r w:rsidRPr="00A316F6">
        <w:t>comminuted</w:t>
      </w:r>
      <w:proofErr w:type="spellEnd"/>
      <w:r w:rsidRPr="00A316F6">
        <w:t xml:space="preserve"> meat, poultry and game products (collectively referred to as “processed meat, poultry and game”).</w:t>
      </w:r>
    </w:p>
    <w:p w14:paraId="70BD019B" w14:textId="77777777" w:rsidR="00A316F6" w:rsidRPr="00A316F6" w:rsidRDefault="00A316F6" w:rsidP="00A316F6"/>
    <w:p w14:paraId="1DF38F59" w14:textId="6007615C" w:rsidR="00A316F6" w:rsidRPr="00A316F6" w:rsidRDefault="00A316F6" w:rsidP="00A316F6">
      <w:r w:rsidRPr="00A316F6">
        <w:t xml:space="preserve">The justification for the Application </w:t>
      </w:r>
      <w:r w:rsidR="009D0A63">
        <w:t>wa</w:t>
      </w:r>
      <w:r w:rsidRPr="00A316F6">
        <w:t xml:space="preserve">s to have alternative anti-microbial preservatives to limit microbial growth, in particular </w:t>
      </w:r>
      <w:r w:rsidRPr="00A316F6">
        <w:rPr>
          <w:i/>
        </w:rPr>
        <w:t>Listeria monocytogenes</w:t>
      </w:r>
      <w:r w:rsidRPr="00A316F6">
        <w:t xml:space="preserve"> in processed meat, poultry and game products.</w:t>
      </w:r>
    </w:p>
    <w:p w14:paraId="23CEFC5C" w14:textId="77777777" w:rsidR="00A316F6" w:rsidRPr="00A316F6" w:rsidRDefault="00A316F6" w:rsidP="00A316F6"/>
    <w:p w14:paraId="56B423A5" w14:textId="53C1907A" w:rsidR="00A316F6" w:rsidRPr="00A316F6" w:rsidRDefault="00A316F6" w:rsidP="00A316F6">
      <w:r w:rsidRPr="00A316F6">
        <w:t xml:space="preserve">The Applicant </w:t>
      </w:r>
      <w:r w:rsidR="009D0A63">
        <w:t>sought</w:t>
      </w:r>
      <w:r w:rsidRPr="00A316F6">
        <w:t xml:space="preserve"> approval for the use of propionates as a preservative, under the conditions of good manufacturing practice (GMP), in the following food categories of the </w:t>
      </w:r>
      <w:r w:rsidRPr="009D0A63">
        <w:rPr>
          <w:i/>
        </w:rPr>
        <w:t>Australia New Zealand Food Standards Code</w:t>
      </w:r>
      <w:r w:rsidRPr="00A316F6">
        <w:t xml:space="preserve"> (the Code):</w:t>
      </w:r>
    </w:p>
    <w:p w14:paraId="55627127" w14:textId="77777777" w:rsidR="00281D6F" w:rsidRPr="00A316F6" w:rsidRDefault="00281D6F" w:rsidP="00A316F6"/>
    <w:p w14:paraId="57C8630E" w14:textId="347EC103" w:rsidR="00A316F6" w:rsidRPr="00A316F6" w:rsidRDefault="00A316F6" w:rsidP="00A316F6">
      <w:pPr>
        <w:ind w:left="567" w:hanging="567"/>
      </w:pPr>
      <w:r w:rsidRPr="00A316F6">
        <w:t>(</w:t>
      </w:r>
      <w:proofErr w:type="spellStart"/>
      <w:r w:rsidRPr="00A316F6">
        <w:t>i</w:t>
      </w:r>
      <w:proofErr w:type="spellEnd"/>
      <w:r w:rsidRPr="00A316F6">
        <w:t xml:space="preserve">) </w:t>
      </w:r>
      <w:r w:rsidRPr="00A316F6">
        <w:tab/>
      </w:r>
      <w:proofErr w:type="gramStart"/>
      <w:r w:rsidR="00281D6F">
        <w:t>p</w:t>
      </w:r>
      <w:r w:rsidRPr="00A316F6">
        <w:t>rocessed</w:t>
      </w:r>
      <w:proofErr w:type="gramEnd"/>
      <w:r w:rsidRPr="00A316F6">
        <w:t xml:space="preserve"> meat, poultry and game products in whole cuts or pieces</w:t>
      </w:r>
    </w:p>
    <w:p w14:paraId="3D8D026D" w14:textId="7DBF7145" w:rsidR="00A316F6" w:rsidRPr="00A316F6" w:rsidRDefault="00A316F6" w:rsidP="00A316F6">
      <w:pPr>
        <w:ind w:left="567" w:hanging="567"/>
      </w:pPr>
      <w:r w:rsidRPr="00A316F6">
        <w:t xml:space="preserve">(ii) </w:t>
      </w:r>
      <w:r w:rsidRPr="00A316F6">
        <w:tab/>
      </w:r>
      <w:proofErr w:type="gramStart"/>
      <w:r w:rsidR="00281D6F">
        <w:t>p</w:t>
      </w:r>
      <w:r w:rsidRPr="00A316F6">
        <w:t>rocessed</w:t>
      </w:r>
      <w:proofErr w:type="gramEnd"/>
      <w:r w:rsidRPr="00A316F6">
        <w:t xml:space="preserve"> </w:t>
      </w:r>
      <w:proofErr w:type="spellStart"/>
      <w:r w:rsidRPr="00A316F6">
        <w:t>comminuted</w:t>
      </w:r>
      <w:proofErr w:type="spellEnd"/>
      <w:r w:rsidRPr="00A316F6">
        <w:t xml:space="preserve"> meat, poultry and game products.</w:t>
      </w:r>
    </w:p>
    <w:p w14:paraId="41806789" w14:textId="77777777" w:rsidR="00A316F6" w:rsidRPr="00A316F6" w:rsidRDefault="00A316F6" w:rsidP="00A316F6"/>
    <w:p w14:paraId="7610BDD8" w14:textId="3884A231" w:rsidR="00A316F6" w:rsidRPr="00A316F6" w:rsidRDefault="00A316F6" w:rsidP="00A316F6">
      <w:r w:rsidRPr="00A316F6">
        <w:t xml:space="preserve">In the Code, all four propionates are currently permitted to be added to breads and bakery products and flour products, including noodles and pasta (at </w:t>
      </w:r>
      <w:r w:rsidR="00830232">
        <w:t>either</w:t>
      </w:r>
      <w:r w:rsidR="009D0A63">
        <w:t xml:space="preserve"> </w:t>
      </w:r>
      <w:r w:rsidRPr="00A316F6">
        <w:t xml:space="preserve">GMP </w:t>
      </w:r>
      <w:r w:rsidR="009D0A63">
        <w:t>or</w:t>
      </w:r>
      <w:r w:rsidRPr="00A316F6">
        <w:t xml:space="preserve"> 4000 mg/kg, depending on the product). Sodium propionate and calcium propionate are also permitted, under conditions of GMP, in a variety of other food categories, including oil emulsions, fruit and vegetable products, formulated beverages, and sauces. Propionic acid, sodium propionate and calcium propionate are permitted to be added to solid formulated supplementary sports foods at a </w:t>
      </w:r>
      <w:r w:rsidR="009D0A63">
        <w:t>m</w:t>
      </w:r>
      <w:r w:rsidRPr="00A316F6">
        <w:t xml:space="preserve">aximum </w:t>
      </w:r>
      <w:r w:rsidR="009D0A63">
        <w:t>p</w:t>
      </w:r>
      <w:r w:rsidRPr="00A316F6">
        <w:t xml:space="preserve">ermitted </w:t>
      </w:r>
      <w:r w:rsidR="009D0A63">
        <w:t>l</w:t>
      </w:r>
      <w:r w:rsidRPr="00A316F6">
        <w:t>evel of 400 mg/kg.</w:t>
      </w:r>
    </w:p>
    <w:p w14:paraId="7B5007D1" w14:textId="77777777" w:rsidR="00A316F6" w:rsidRPr="00A316F6" w:rsidRDefault="00A316F6" w:rsidP="00A316F6"/>
    <w:p w14:paraId="4848E2F9" w14:textId="5E867936" w:rsidR="00A316F6" w:rsidRPr="00A316F6" w:rsidRDefault="00A316F6" w:rsidP="00A316F6">
      <w:r w:rsidRPr="00A316F6">
        <w:t xml:space="preserve">In the Codex General Standard for Food Additives (GSFA) propionates are currently listed for use under the conditions of GMP in the two processed meat food categories which are the </w:t>
      </w:r>
      <w:r w:rsidR="00830232">
        <w:t>subject</w:t>
      </w:r>
      <w:r w:rsidR="00830232" w:rsidRPr="00A316F6">
        <w:t xml:space="preserve"> </w:t>
      </w:r>
      <w:r w:rsidRPr="00A316F6">
        <w:t>of the Application.</w:t>
      </w:r>
    </w:p>
    <w:p w14:paraId="2F3842A6" w14:textId="77777777" w:rsidR="00A316F6" w:rsidRPr="00A316F6" w:rsidRDefault="00A316F6" w:rsidP="00A316F6"/>
    <w:p w14:paraId="1C61AC21" w14:textId="51291FF9" w:rsidR="00A316F6" w:rsidRPr="00A316F6" w:rsidRDefault="00A316F6" w:rsidP="00A316F6">
      <w:r w:rsidRPr="00A316F6">
        <w:t xml:space="preserve">The United States Food and Drug Administration </w:t>
      </w:r>
      <w:r w:rsidR="00DB298D">
        <w:t>(</w:t>
      </w:r>
      <w:r w:rsidR="00281D6F">
        <w:t>US</w:t>
      </w:r>
      <w:r w:rsidR="00DB298D">
        <w:t xml:space="preserve">FDA) </w:t>
      </w:r>
      <w:proofErr w:type="gramStart"/>
      <w:r w:rsidRPr="00A316F6">
        <w:t>permits</w:t>
      </w:r>
      <w:proofErr w:type="gramEnd"/>
      <w:r w:rsidRPr="00A316F6">
        <w:t xml:space="preserve"> the use of propionic acid and its sodium salt, as preservatives, in “ready to eat” meat and poultry up to 0.5% (</w:t>
      </w:r>
      <w:r w:rsidR="009D0A63">
        <w:t>5</w:t>
      </w:r>
      <w:r w:rsidR="000A72E1">
        <w:t>,</w:t>
      </w:r>
      <w:r w:rsidR="009D0A63">
        <w:t>000 mg</w:t>
      </w:r>
      <w:r w:rsidRPr="00A316F6">
        <w:t>/kg).</w:t>
      </w:r>
    </w:p>
    <w:p w14:paraId="6A152EF3" w14:textId="77777777" w:rsidR="00A316F6" w:rsidRPr="00A316F6" w:rsidRDefault="00A316F6" w:rsidP="00A316F6">
      <w:pPr>
        <w:rPr>
          <w:lang w:bidi="ar-SA"/>
        </w:rPr>
      </w:pPr>
    </w:p>
    <w:p w14:paraId="49B70CA0" w14:textId="762FF07E" w:rsidR="00A316F6" w:rsidRPr="00A316F6" w:rsidRDefault="00A316F6" w:rsidP="00A316F6">
      <w:r w:rsidRPr="00A316F6">
        <w:rPr>
          <w:lang w:bidi="ar-SA"/>
        </w:rPr>
        <w:t>Propionic acid is a normal intermediary metabolite in humans and is naturally present in a wide variety of foods e.g. cheese</w:t>
      </w:r>
      <w:r w:rsidR="009D0A63">
        <w:rPr>
          <w:lang w:bidi="ar-SA"/>
        </w:rPr>
        <w:t xml:space="preserve"> and</w:t>
      </w:r>
      <w:r w:rsidRPr="00A316F6">
        <w:rPr>
          <w:lang w:bidi="ar-SA"/>
        </w:rPr>
        <w:t xml:space="preserve"> butter. Propionic acid and its sodium, calcium and potassium salts have a long history of use as food additives. Assessments by the Joint FAO/WHO Expert Committee on Food Additives (JECFA) and the European Food Safety Authority (EFSA) have concluded that there is no evidence of systemic toxicity resulting from oral exposure to propionates. Establishment of an acceptable dietary intake (ADI) expressed in numerical form was therefore not deemed necessary by JECFA and EFSA; FSANZ </w:t>
      </w:r>
      <w:r w:rsidR="002C6B30">
        <w:rPr>
          <w:lang w:bidi="ar-SA"/>
        </w:rPr>
        <w:t>agreed</w:t>
      </w:r>
      <w:r w:rsidR="002C6B30" w:rsidRPr="00A316F6">
        <w:rPr>
          <w:lang w:bidi="ar-SA"/>
        </w:rPr>
        <w:t xml:space="preserve"> </w:t>
      </w:r>
      <w:r w:rsidRPr="00A316F6">
        <w:rPr>
          <w:lang w:bidi="ar-SA"/>
        </w:rPr>
        <w:t xml:space="preserve">with this </w:t>
      </w:r>
      <w:r w:rsidR="003426CB">
        <w:rPr>
          <w:lang w:bidi="ar-SA"/>
        </w:rPr>
        <w:t>conclusion</w:t>
      </w:r>
      <w:r w:rsidRPr="00A316F6">
        <w:rPr>
          <w:lang w:bidi="ar-SA"/>
        </w:rPr>
        <w:t xml:space="preserve">. Due to the absence of </w:t>
      </w:r>
      <w:r w:rsidRPr="00A316F6">
        <w:t>systemic toxicity resulting from oral exposure to propionates, a dietary exposure assessment was not conducted for this Application.</w:t>
      </w:r>
    </w:p>
    <w:p w14:paraId="0E6C22A1" w14:textId="77777777" w:rsidR="00A316F6" w:rsidRPr="00A316F6" w:rsidRDefault="00A316F6" w:rsidP="00A316F6"/>
    <w:p w14:paraId="65793F6C" w14:textId="2B9A6E79" w:rsidR="00103C7B" w:rsidRDefault="00A316F6" w:rsidP="00A316F6">
      <w:r w:rsidRPr="00A316F6">
        <w:t>Evidence submitted in support of this Application provide</w:t>
      </w:r>
      <w:r w:rsidR="00DB298D">
        <w:t>d</w:t>
      </w:r>
      <w:r w:rsidRPr="00A316F6">
        <w:t xml:space="preserve"> adequate assurance that propionates fulfil the stated technological function as anti-microbial preservatives in processed meat, poultry and game products. Any additional dietary exposure to propionates resulting from their proposed use as food additives in processed meat, poultry and game products present</w:t>
      </w:r>
      <w:r w:rsidR="009D0A63">
        <w:t>ed</w:t>
      </w:r>
      <w:r w:rsidRPr="00A316F6">
        <w:t xml:space="preserve"> no identified public health and safety concerns.</w:t>
      </w:r>
      <w:r w:rsidR="00103C7B">
        <w:br w:type="page"/>
      </w:r>
    </w:p>
    <w:p w14:paraId="38E2E5FC" w14:textId="77777777" w:rsidR="00453B6E" w:rsidRDefault="00A316F6" w:rsidP="00A316F6">
      <w:r w:rsidRPr="00A316F6">
        <w:lastRenderedPageBreak/>
        <w:t xml:space="preserve">The use of propionates under the proposed conditions of GMP is not expected to affect the taste of the processed meat, poultry and game products. </w:t>
      </w:r>
    </w:p>
    <w:p w14:paraId="1B9C865F" w14:textId="23472E35" w:rsidR="009D0A63" w:rsidRDefault="009D0A63" w:rsidP="00453B6E"/>
    <w:p w14:paraId="2CFDE501" w14:textId="6B4E09C0" w:rsidR="009D0A63" w:rsidRPr="00453B6E" w:rsidRDefault="00281D6F" w:rsidP="00453B6E">
      <w:r>
        <w:t>T</w:t>
      </w:r>
      <w:r w:rsidR="00987D1D">
        <w:t xml:space="preserve">he </w:t>
      </w:r>
      <w:r w:rsidR="009D0A63">
        <w:t>FSANZ</w:t>
      </w:r>
      <w:r w:rsidR="00987D1D">
        <w:t xml:space="preserve"> Board</w:t>
      </w:r>
      <w:r w:rsidR="009D0A63">
        <w:t xml:space="preserve"> </w:t>
      </w:r>
      <w:r>
        <w:t xml:space="preserve">has approved a draft variation </w:t>
      </w:r>
      <w:r w:rsidR="009D0A63">
        <w:t xml:space="preserve">to permit the use of propionates as anti-microbial preservatives in processed meat, poultry and game products </w:t>
      </w:r>
      <w:r>
        <w:t>in</w:t>
      </w:r>
      <w:r w:rsidR="009D0A63">
        <w:t xml:space="preserve"> both food categories 8.2 and 8.3 in the table to section S15—5.</w:t>
      </w:r>
    </w:p>
    <w:p w14:paraId="75485F54" w14:textId="739DCCE2" w:rsidR="00A316F6" w:rsidRPr="00A316F6" w:rsidRDefault="00A316F6" w:rsidP="00A316F6">
      <w:r w:rsidRPr="00A316F6">
        <w:br w:type="page"/>
      </w:r>
    </w:p>
    <w:p w14:paraId="1394AD57" w14:textId="77777777" w:rsidR="007A53BF" w:rsidRPr="007A53BF" w:rsidRDefault="007A53BF" w:rsidP="00CE59AA">
      <w:pPr>
        <w:pStyle w:val="Heading1"/>
      </w:pPr>
      <w:bookmarkStart w:id="10" w:name="_Toc300933417"/>
      <w:bookmarkStart w:id="11" w:name="_Toc370223464"/>
      <w:bookmarkStart w:id="12" w:name="_Toc460941256"/>
      <w:r w:rsidRPr="007A53BF">
        <w:lastRenderedPageBreak/>
        <w:t>1</w:t>
      </w:r>
      <w:r w:rsidRPr="007A53BF">
        <w:tab/>
        <w:t>Introduction</w:t>
      </w:r>
      <w:bookmarkEnd w:id="10"/>
      <w:bookmarkEnd w:id="11"/>
      <w:bookmarkEnd w:id="12"/>
    </w:p>
    <w:p w14:paraId="49CA97F4" w14:textId="3BD499DB" w:rsidR="007A53BF" w:rsidRPr="00991FAB" w:rsidRDefault="007A53BF" w:rsidP="00CE59AA">
      <w:pPr>
        <w:pStyle w:val="Heading2"/>
      </w:pPr>
      <w:bookmarkStart w:id="13" w:name="_Toc300761890"/>
      <w:bookmarkStart w:id="14" w:name="_Toc460941257"/>
      <w:bookmarkStart w:id="15" w:name="_Toc300933419"/>
      <w:bookmarkStart w:id="16" w:name="_Toc370223465"/>
      <w:r w:rsidRPr="007A53BF">
        <w:t>1.1</w:t>
      </w:r>
      <w:r w:rsidRPr="007A53BF">
        <w:tab/>
        <w:t xml:space="preserve">The </w:t>
      </w:r>
      <w:r w:rsidRPr="00991FAB">
        <w:t>Applicant</w:t>
      </w:r>
      <w:bookmarkEnd w:id="13"/>
      <w:bookmarkEnd w:id="14"/>
      <w:r w:rsidRPr="00991FAB">
        <w:t xml:space="preserve"> </w:t>
      </w:r>
      <w:bookmarkEnd w:id="15"/>
      <w:bookmarkEnd w:id="16"/>
    </w:p>
    <w:p w14:paraId="1DA60F7E" w14:textId="08812794" w:rsidR="00D64234" w:rsidRPr="00F33BB8" w:rsidRDefault="00D64234" w:rsidP="00D64234">
      <w:pPr>
        <w:rPr>
          <w:color w:val="00B050"/>
        </w:rPr>
      </w:pPr>
      <w:bookmarkStart w:id="17" w:name="_Toc300761891"/>
      <w:bookmarkStart w:id="18" w:name="_Toc300933420"/>
      <w:bookmarkStart w:id="19" w:name="_Toc370223466"/>
      <w:r>
        <w:t xml:space="preserve">The Applicant is </w:t>
      </w:r>
      <w:proofErr w:type="spellStart"/>
      <w:r w:rsidR="009D0A63">
        <w:t>Kemin</w:t>
      </w:r>
      <w:proofErr w:type="spellEnd"/>
      <w:r>
        <w:t xml:space="preserve"> Industries (ASIA) Pte Ltd. </w:t>
      </w:r>
      <w:proofErr w:type="spellStart"/>
      <w:r w:rsidR="009D0A63">
        <w:t>Kemin</w:t>
      </w:r>
      <w:proofErr w:type="spellEnd"/>
      <w:r>
        <w:t xml:space="preserve"> Industries (ASIA) Pte Ltd </w:t>
      </w:r>
      <w:r w:rsidR="001F0E0C">
        <w:t>is</w:t>
      </w:r>
      <w:r>
        <w:t xml:space="preserve"> part of </w:t>
      </w:r>
      <w:proofErr w:type="spellStart"/>
      <w:r w:rsidR="009D0A63">
        <w:t>Kemin</w:t>
      </w:r>
      <w:proofErr w:type="spellEnd"/>
      <w:r>
        <w:t xml:space="preserve"> Industries Inc. who </w:t>
      </w:r>
      <w:r w:rsidR="009D0A63">
        <w:t>manufactures</w:t>
      </w:r>
      <w:r>
        <w:t xml:space="preserve"> speciality ingredients for global food and feed industries, including food technologies. </w:t>
      </w:r>
      <w:proofErr w:type="spellStart"/>
      <w:r w:rsidR="009D0A63">
        <w:t>Kemin</w:t>
      </w:r>
      <w:proofErr w:type="spellEnd"/>
      <w:r>
        <w:t xml:space="preserve"> Industries Inc. </w:t>
      </w:r>
      <w:r w:rsidR="00BE2D71">
        <w:t>has</w:t>
      </w:r>
      <w:r>
        <w:t xml:space="preserve"> headquarters in Iowa, USA. In Australia and New Zealand, </w:t>
      </w:r>
      <w:proofErr w:type="spellStart"/>
      <w:r w:rsidR="009D0A63">
        <w:t>Kemin</w:t>
      </w:r>
      <w:proofErr w:type="spellEnd"/>
      <w:r>
        <w:t xml:space="preserve"> Industries Inc. are represented by Hawkins Watts Ltd. </w:t>
      </w:r>
    </w:p>
    <w:p w14:paraId="7E3D3BA0" w14:textId="0604668A" w:rsidR="007A53BF" w:rsidRPr="00862E2F" w:rsidRDefault="007A53BF" w:rsidP="00CE59AA">
      <w:pPr>
        <w:pStyle w:val="Heading2"/>
      </w:pPr>
      <w:bookmarkStart w:id="20" w:name="_Toc460941258"/>
      <w:r w:rsidRPr="00862E2F">
        <w:t>1.2</w:t>
      </w:r>
      <w:r w:rsidRPr="00862E2F">
        <w:tab/>
      </w:r>
      <w:bookmarkEnd w:id="17"/>
      <w:bookmarkEnd w:id="18"/>
      <w:bookmarkEnd w:id="19"/>
      <w:r w:rsidR="00862E2F" w:rsidRPr="00862E2F">
        <w:t>The Application</w:t>
      </w:r>
      <w:bookmarkEnd w:id="20"/>
    </w:p>
    <w:p w14:paraId="676FB37E" w14:textId="04187A96" w:rsidR="00D64234" w:rsidRDefault="00D64234" w:rsidP="00D64234">
      <w:bookmarkStart w:id="21" w:name="_Toc300761892"/>
      <w:bookmarkStart w:id="22" w:name="_Toc300933421"/>
      <w:bookmarkStart w:id="23" w:name="_Toc370223467"/>
      <w:r>
        <w:t>This Application sought to extend the approval for use of the anti-microbial food preservatives, propionates, under conditions of good manufacturing practice (GMP), to certain processed meat, poultry and game products. Allowing this extension provides an additional risk management tool for the control of microbial activity</w:t>
      </w:r>
      <w:r w:rsidR="0047037D">
        <w:t xml:space="preserve"> </w:t>
      </w:r>
      <w:r w:rsidR="00BE2D71">
        <w:t>due to</w:t>
      </w:r>
      <w:r>
        <w:t xml:space="preserve"> </w:t>
      </w:r>
      <w:r>
        <w:rPr>
          <w:i/>
        </w:rPr>
        <w:t>Listeria monocytogenes,</w:t>
      </w:r>
      <w:r>
        <w:t xml:space="preserve"> in the aforementioned products. </w:t>
      </w:r>
    </w:p>
    <w:p w14:paraId="4345CE74" w14:textId="77777777" w:rsidR="00D64234" w:rsidRDefault="00D64234" w:rsidP="00D64234"/>
    <w:p w14:paraId="680DFE45" w14:textId="7A75086E" w:rsidR="00D64234" w:rsidRDefault="00D64234" w:rsidP="00D64234">
      <w:r>
        <w:t>Approval of this Application gives all meat processing industries in Australia and New Zealand the option to use these propionates as preservatives in processed m</w:t>
      </w:r>
      <w:r w:rsidR="003426CB">
        <w:t>eat, poultry and game products.</w:t>
      </w:r>
    </w:p>
    <w:p w14:paraId="4BF05124" w14:textId="77777777" w:rsidR="007A53BF" w:rsidRPr="007A53BF" w:rsidRDefault="007A53BF" w:rsidP="00CE59AA">
      <w:pPr>
        <w:pStyle w:val="Heading2"/>
      </w:pPr>
      <w:bookmarkStart w:id="24" w:name="_Toc460941259"/>
      <w:r w:rsidRPr="007A53BF">
        <w:t>1.3</w:t>
      </w:r>
      <w:r w:rsidRPr="007A53BF">
        <w:tab/>
        <w:t>The current Standard</w:t>
      </w:r>
      <w:bookmarkEnd w:id="21"/>
      <w:bookmarkEnd w:id="22"/>
      <w:bookmarkEnd w:id="23"/>
      <w:bookmarkEnd w:id="24"/>
    </w:p>
    <w:p w14:paraId="6E42D36B" w14:textId="5668A040" w:rsidR="001F0E0C" w:rsidRPr="001F0E0C" w:rsidRDefault="001F0E0C" w:rsidP="00927283">
      <w:bookmarkStart w:id="25" w:name="_Toc286391007"/>
      <w:bookmarkStart w:id="26" w:name="_Toc300933423"/>
      <w:bookmarkStart w:id="27" w:name="_Toc370223468"/>
      <w:bookmarkStart w:id="28" w:name="_Toc175381432"/>
      <w:r w:rsidRPr="001F0E0C">
        <w:t xml:space="preserve">Propionic acid (INS 280), calcium propionate (INS 282), potassium propionate (INS 283) and sodium propionate (INS 281) are food additives with the technological purpose of anti-microbial preservatives. They have been permitted food additives in the </w:t>
      </w:r>
      <w:r w:rsidR="00927283" w:rsidRPr="00927283">
        <w:rPr>
          <w:i/>
        </w:rPr>
        <w:t xml:space="preserve">Australia New Zealand Food Standards </w:t>
      </w:r>
      <w:r w:rsidRPr="00927283">
        <w:rPr>
          <w:i/>
        </w:rPr>
        <w:t>Code</w:t>
      </w:r>
      <w:r w:rsidRPr="001F0E0C">
        <w:t xml:space="preserve"> </w:t>
      </w:r>
      <w:r w:rsidR="00927283">
        <w:t xml:space="preserve">(the Code) </w:t>
      </w:r>
      <w:r w:rsidRPr="001F0E0C">
        <w:t xml:space="preserve">for many years, in a range of food categories at a range of levels. A summary of the current permissions, </w:t>
      </w:r>
      <w:r w:rsidR="00660B18">
        <w:t>from</w:t>
      </w:r>
      <w:r w:rsidRPr="001F0E0C">
        <w:t xml:space="preserve"> </w:t>
      </w:r>
      <w:r w:rsidR="00660B18">
        <w:t xml:space="preserve">the table to section S15—5 within </w:t>
      </w:r>
      <w:r w:rsidRPr="001F0E0C">
        <w:t xml:space="preserve">Schedule 15, is </w:t>
      </w:r>
      <w:r w:rsidR="00CA3E2E">
        <w:t>listed</w:t>
      </w:r>
      <w:r w:rsidR="00660B18">
        <w:t xml:space="preserve"> in Table 1</w:t>
      </w:r>
      <w:r w:rsidRPr="001F0E0C">
        <w:t xml:space="preserve">: </w:t>
      </w:r>
    </w:p>
    <w:p w14:paraId="14B59D58" w14:textId="77777777" w:rsidR="001F0E0C" w:rsidRPr="001F0E0C" w:rsidRDefault="001F0E0C" w:rsidP="001F0E0C">
      <w:pPr>
        <w:jc w:val="both"/>
      </w:pPr>
    </w:p>
    <w:p w14:paraId="47E649FF" w14:textId="43A95EA3" w:rsidR="001F0E0C" w:rsidRDefault="00660B18" w:rsidP="00660B18">
      <w:pPr>
        <w:pStyle w:val="FSTableTitle"/>
      </w:pPr>
      <w:r>
        <w:t>Table 1</w:t>
      </w:r>
      <w:r w:rsidR="00CA3E2E">
        <w:t xml:space="preserve">:  </w:t>
      </w:r>
      <w:r w:rsidR="001F0E0C" w:rsidRPr="001F0E0C">
        <w:t xml:space="preserve">Current permissions for propionates in the Code </w:t>
      </w:r>
    </w:p>
    <w:p w14:paraId="458AA45B" w14:textId="77777777" w:rsidR="00CA3E2E" w:rsidRPr="000A72E1" w:rsidRDefault="00CA3E2E" w:rsidP="000A72E1">
      <w:pPr>
        <w:rPr>
          <w:b/>
        </w:rPr>
      </w:pPr>
    </w:p>
    <w:tbl>
      <w:tblPr>
        <w:tblStyle w:val="TableGrid"/>
        <w:tblW w:w="9072" w:type="dxa"/>
        <w:tblInd w:w="250" w:type="dxa"/>
        <w:tblLook w:val="04A0" w:firstRow="1" w:lastRow="0" w:firstColumn="1" w:lastColumn="0" w:noHBand="0" w:noVBand="1"/>
        <w:tblCaption w:val="Current Permissions in the Code"/>
        <w:tblDescription w:val="Current propionate permissions in the FSANZ Code"/>
      </w:tblPr>
      <w:tblGrid>
        <w:gridCol w:w="2304"/>
        <w:gridCol w:w="3745"/>
        <w:gridCol w:w="3023"/>
      </w:tblGrid>
      <w:tr w:rsidR="001F0E0C" w:rsidRPr="001F0E0C" w14:paraId="04A24666" w14:textId="77777777" w:rsidTr="000A72E1">
        <w:trPr>
          <w:tblHeader/>
        </w:trPr>
        <w:tc>
          <w:tcPr>
            <w:tcW w:w="2268" w:type="dxa"/>
          </w:tcPr>
          <w:p w14:paraId="68B19B2B" w14:textId="77777777" w:rsidR="001F0E0C" w:rsidRPr="001F0E0C" w:rsidRDefault="001F0E0C" w:rsidP="001F0E0C">
            <w:pPr>
              <w:rPr>
                <w:rFonts w:cs="Arial"/>
                <w:b/>
                <w:sz w:val="20"/>
                <w:szCs w:val="20"/>
              </w:rPr>
            </w:pPr>
            <w:r w:rsidRPr="001F0E0C">
              <w:rPr>
                <w:rFonts w:cs="Arial"/>
                <w:b/>
                <w:sz w:val="20"/>
                <w:szCs w:val="20"/>
              </w:rPr>
              <w:t>Propionate</w:t>
            </w:r>
          </w:p>
        </w:tc>
        <w:tc>
          <w:tcPr>
            <w:tcW w:w="3686" w:type="dxa"/>
          </w:tcPr>
          <w:p w14:paraId="009AB12B" w14:textId="7AD883EB" w:rsidR="001F0E0C" w:rsidRPr="001F0E0C" w:rsidRDefault="001F0E0C" w:rsidP="001F0E0C">
            <w:pPr>
              <w:rPr>
                <w:rFonts w:cs="Arial"/>
                <w:b/>
                <w:sz w:val="20"/>
                <w:szCs w:val="20"/>
              </w:rPr>
            </w:pPr>
            <w:r w:rsidRPr="001F0E0C">
              <w:rPr>
                <w:rFonts w:cs="Arial"/>
                <w:b/>
                <w:sz w:val="20"/>
                <w:szCs w:val="20"/>
              </w:rPr>
              <w:t>Food category</w:t>
            </w:r>
            <w:r w:rsidR="00660B18">
              <w:rPr>
                <w:rFonts w:cs="Arial"/>
                <w:b/>
                <w:sz w:val="20"/>
                <w:szCs w:val="20"/>
              </w:rPr>
              <w:t xml:space="preserve"> number and name</w:t>
            </w:r>
          </w:p>
        </w:tc>
        <w:tc>
          <w:tcPr>
            <w:tcW w:w="2976" w:type="dxa"/>
          </w:tcPr>
          <w:p w14:paraId="498B6B5A" w14:textId="77777777" w:rsidR="001F0E0C" w:rsidRPr="001F0E0C" w:rsidRDefault="001F0E0C" w:rsidP="001F0E0C">
            <w:pPr>
              <w:rPr>
                <w:rFonts w:cs="Arial"/>
                <w:b/>
                <w:sz w:val="20"/>
                <w:szCs w:val="20"/>
              </w:rPr>
            </w:pPr>
            <w:r w:rsidRPr="001F0E0C">
              <w:rPr>
                <w:rFonts w:cs="Arial"/>
                <w:b/>
                <w:sz w:val="20"/>
                <w:szCs w:val="20"/>
              </w:rPr>
              <w:t>Condition</w:t>
            </w:r>
          </w:p>
        </w:tc>
      </w:tr>
      <w:tr w:rsidR="001F0E0C" w:rsidRPr="001F0E0C" w14:paraId="45E55B98" w14:textId="77777777" w:rsidTr="000A72E1">
        <w:trPr>
          <w:cantSplit/>
        </w:trPr>
        <w:tc>
          <w:tcPr>
            <w:tcW w:w="2268" w:type="dxa"/>
          </w:tcPr>
          <w:p w14:paraId="607368CE" w14:textId="5F49C462" w:rsidR="001F0E0C" w:rsidRPr="001F0E0C" w:rsidRDefault="001F0E0C" w:rsidP="001F0E0C">
            <w:pPr>
              <w:rPr>
                <w:rFonts w:cs="Arial"/>
                <w:sz w:val="20"/>
                <w:szCs w:val="20"/>
              </w:rPr>
            </w:pPr>
            <w:r w:rsidRPr="001F0E0C">
              <w:rPr>
                <w:rFonts w:cs="Arial"/>
                <w:sz w:val="20"/>
                <w:szCs w:val="20"/>
              </w:rPr>
              <w:t>Propionates</w:t>
            </w:r>
            <w:r w:rsidR="00660B18">
              <w:rPr>
                <w:rStyle w:val="FootnoteReference"/>
                <w:rFonts w:cs="Arial"/>
                <w:sz w:val="20"/>
                <w:szCs w:val="20"/>
              </w:rPr>
              <w:footnoteReference w:id="3"/>
            </w:r>
            <w:r w:rsidRPr="001F0E0C">
              <w:rPr>
                <w:rFonts w:cs="Arial"/>
                <w:sz w:val="20"/>
                <w:szCs w:val="20"/>
              </w:rPr>
              <w:t xml:space="preserve"> </w:t>
            </w:r>
          </w:p>
        </w:tc>
        <w:tc>
          <w:tcPr>
            <w:tcW w:w="3686" w:type="dxa"/>
          </w:tcPr>
          <w:p w14:paraId="4688980D" w14:textId="0E8C05A2" w:rsidR="001F0E0C" w:rsidRPr="001F0E0C" w:rsidRDefault="00660B18" w:rsidP="001F0E0C">
            <w:pPr>
              <w:rPr>
                <w:rFonts w:cs="Arial"/>
                <w:sz w:val="20"/>
                <w:szCs w:val="20"/>
              </w:rPr>
            </w:pPr>
            <w:r>
              <w:rPr>
                <w:rFonts w:cs="Arial"/>
                <w:sz w:val="20"/>
                <w:szCs w:val="20"/>
              </w:rPr>
              <w:t>7</w:t>
            </w:r>
            <w:r>
              <w:rPr>
                <w:rFonts w:cs="Arial"/>
                <w:sz w:val="20"/>
                <w:szCs w:val="20"/>
              </w:rPr>
              <w:tab/>
            </w:r>
            <w:r w:rsidR="001F0E0C" w:rsidRPr="001F0E0C">
              <w:rPr>
                <w:rFonts w:cs="Arial"/>
                <w:sz w:val="20"/>
                <w:szCs w:val="20"/>
              </w:rPr>
              <w:t xml:space="preserve">Bread and bakery products </w:t>
            </w:r>
          </w:p>
        </w:tc>
        <w:tc>
          <w:tcPr>
            <w:tcW w:w="2976" w:type="dxa"/>
          </w:tcPr>
          <w:p w14:paraId="013E162D" w14:textId="77777777" w:rsidR="001F0E0C" w:rsidRPr="001F0E0C" w:rsidRDefault="001F0E0C" w:rsidP="001F0E0C">
            <w:pPr>
              <w:rPr>
                <w:rFonts w:cs="Arial"/>
                <w:sz w:val="20"/>
                <w:szCs w:val="20"/>
              </w:rPr>
            </w:pPr>
            <w:r w:rsidRPr="001F0E0C">
              <w:rPr>
                <w:rFonts w:cs="Arial"/>
                <w:sz w:val="20"/>
                <w:szCs w:val="20"/>
              </w:rPr>
              <w:t>Up to an MPL</w:t>
            </w:r>
            <w:r w:rsidRPr="001F0E0C">
              <w:rPr>
                <w:rFonts w:cs="Arial"/>
                <w:sz w:val="20"/>
                <w:szCs w:val="20"/>
                <w:vertAlign w:val="superscript"/>
              </w:rPr>
              <w:footnoteReference w:id="4"/>
            </w:r>
            <w:r w:rsidRPr="001F0E0C">
              <w:rPr>
                <w:rFonts w:cs="Arial"/>
                <w:sz w:val="20"/>
                <w:szCs w:val="20"/>
              </w:rPr>
              <w:t xml:space="preserve"> of 4000 mg/kg</w:t>
            </w:r>
          </w:p>
        </w:tc>
      </w:tr>
      <w:tr w:rsidR="001F0E0C" w:rsidRPr="001F0E0C" w14:paraId="16F4A29B" w14:textId="77777777" w:rsidTr="000A72E1">
        <w:trPr>
          <w:cantSplit/>
        </w:trPr>
        <w:tc>
          <w:tcPr>
            <w:tcW w:w="2268" w:type="dxa"/>
          </w:tcPr>
          <w:p w14:paraId="0AF7A63F" w14:textId="77777777" w:rsidR="001F0E0C" w:rsidRPr="001F0E0C" w:rsidRDefault="001F0E0C" w:rsidP="001F0E0C">
            <w:pPr>
              <w:rPr>
                <w:rFonts w:cs="Arial"/>
                <w:sz w:val="20"/>
                <w:szCs w:val="20"/>
              </w:rPr>
            </w:pPr>
            <w:r w:rsidRPr="001F0E0C">
              <w:rPr>
                <w:rFonts w:cs="Arial"/>
                <w:sz w:val="20"/>
                <w:szCs w:val="20"/>
              </w:rPr>
              <w:t xml:space="preserve">Propionates </w:t>
            </w:r>
          </w:p>
        </w:tc>
        <w:tc>
          <w:tcPr>
            <w:tcW w:w="3686" w:type="dxa"/>
          </w:tcPr>
          <w:p w14:paraId="59B17D87" w14:textId="6979E69C" w:rsidR="001F0E0C" w:rsidRPr="001F0E0C" w:rsidRDefault="00660B18" w:rsidP="001F0E0C">
            <w:pPr>
              <w:rPr>
                <w:rFonts w:cs="Arial"/>
                <w:sz w:val="20"/>
                <w:szCs w:val="20"/>
              </w:rPr>
            </w:pPr>
            <w:r>
              <w:rPr>
                <w:rFonts w:cs="Arial"/>
                <w:sz w:val="20"/>
                <w:szCs w:val="20"/>
              </w:rPr>
              <w:t>6.4</w:t>
            </w:r>
            <w:r>
              <w:rPr>
                <w:rFonts w:cs="Arial"/>
                <w:sz w:val="20"/>
                <w:szCs w:val="20"/>
              </w:rPr>
              <w:tab/>
            </w:r>
            <w:r w:rsidR="001F0E0C" w:rsidRPr="001F0E0C">
              <w:rPr>
                <w:rFonts w:cs="Arial"/>
                <w:sz w:val="20"/>
                <w:szCs w:val="20"/>
              </w:rPr>
              <w:t xml:space="preserve">Flour products, including noodles and pasta </w:t>
            </w:r>
          </w:p>
        </w:tc>
        <w:tc>
          <w:tcPr>
            <w:tcW w:w="2976" w:type="dxa"/>
          </w:tcPr>
          <w:p w14:paraId="09297831" w14:textId="77777777" w:rsidR="001F0E0C" w:rsidRPr="001F0E0C" w:rsidRDefault="001F0E0C" w:rsidP="001F0E0C">
            <w:pPr>
              <w:rPr>
                <w:rFonts w:cs="Arial"/>
                <w:sz w:val="20"/>
                <w:szCs w:val="20"/>
              </w:rPr>
            </w:pPr>
            <w:r w:rsidRPr="001F0E0C">
              <w:rPr>
                <w:rFonts w:cs="Arial"/>
                <w:sz w:val="20"/>
                <w:szCs w:val="20"/>
              </w:rPr>
              <w:t xml:space="preserve">Up to an MPL of 2000 mg/kg </w:t>
            </w:r>
          </w:p>
        </w:tc>
      </w:tr>
      <w:tr w:rsidR="001F0E0C" w:rsidRPr="001F0E0C" w14:paraId="44779A57" w14:textId="77777777" w:rsidTr="000A72E1">
        <w:trPr>
          <w:cantSplit/>
        </w:trPr>
        <w:tc>
          <w:tcPr>
            <w:tcW w:w="2268" w:type="dxa"/>
          </w:tcPr>
          <w:p w14:paraId="420ECDA1" w14:textId="77777777" w:rsidR="001F0E0C" w:rsidRPr="001F0E0C" w:rsidRDefault="001F0E0C" w:rsidP="001F0E0C">
            <w:pPr>
              <w:rPr>
                <w:rFonts w:cs="Arial"/>
                <w:sz w:val="20"/>
                <w:szCs w:val="20"/>
              </w:rPr>
            </w:pPr>
            <w:r w:rsidRPr="001F0E0C">
              <w:rPr>
                <w:rFonts w:cs="Arial"/>
                <w:sz w:val="20"/>
                <w:szCs w:val="20"/>
              </w:rPr>
              <w:t xml:space="preserve">Sodium and calcium propionate </w:t>
            </w:r>
          </w:p>
        </w:tc>
        <w:tc>
          <w:tcPr>
            <w:tcW w:w="3686" w:type="dxa"/>
          </w:tcPr>
          <w:p w14:paraId="4CF3719A" w14:textId="1C7E122F" w:rsidR="001F0E0C" w:rsidRPr="001F0E0C" w:rsidRDefault="00660B18" w:rsidP="00660B18">
            <w:pPr>
              <w:rPr>
                <w:rFonts w:cs="Arial"/>
                <w:sz w:val="20"/>
                <w:szCs w:val="20"/>
              </w:rPr>
            </w:pPr>
            <w:r>
              <w:rPr>
                <w:rFonts w:cs="Arial"/>
                <w:sz w:val="20"/>
                <w:szCs w:val="20"/>
              </w:rPr>
              <w:t>2.2.2</w:t>
            </w:r>
            <w:r>
              <w:rPr>
                <w:rFonts w:cs="Arial"/>
                <w:sz w:val="20"/>
                <w:szCs w:val="20"/>
              </w:rPr>
              <w:tab/>
            </w:r>
            <w:r w:rsidR="001F0E0C" w:rsidRPr="001F0E0C">
              <w:rPr>
                <w:rFonts w:cs="Arial"/>
                <w:sz w:val="20"/>
                <w:szCs w:val="20"/>
              </w:rPr>
              <w:t>oil emulsions</w:t>
            </w:r>
            <w:r>
              <w:rPr>
                <w:rFonts w:cs="Arial"/>
                <w:sz w:val="20"/>
                <w:szCs w:val="20"/>
              </w:rPr>
              <w:t xml:space="preserve"> (80% oil)</w:t>
            </w:r>
          </w:p>
        </w:tc>
        <w:tc>
          <w:tcPr>
            <w:tcW w:w="2976" w:type="dxa"/>
          </w:tcPr>
          <w:p w14:paraId="325A122A" w14:textId="77777777" w:rsidR="001F0E0C" w:rsidRPr="001F0E0C" w:rsidRDefault="001F0E0C" w:rsidP="001F0E0C">
            <w:pPr>
              <w:rPr>
                <w:rFonts w:cs="Arial"/>
                <w:sz w:val="20"/>
                <w:szCs w:val="20"/>
              </w:rPr>
            </w:pPr>
            <w:r w:rsidRPr="001F0E0C">
              <w:rPr>
                <w:rFonts w:cs="Arial"/>
                <w:sz w:val="20"/>
                <w:szCs w:val="20"/>
              </w:rPr>
              <w:t>GMP</w:t>
            </w:r>
          </w:p>
        </w:tc>
      </w:tr>
      <w:tr w:rsidR="001F0E0C" w:rsidRPr="001F0E0C" w14:paraId="491447E5" w14:textId="77777777" w:rsidTr="000A72E1">
        <w:trPr>
          <w:cantSplit/>
        </w:trPr>
        <w:tc>
          <w:tcPr>
            <w:tcW w:w="2268" w:type="dxa"/>
          </w:tcPr>
          <w:p w14:paraId="3B68E794" w14:textId="77777777" w:rsidR="001F0E0C" w:rsidRPr="001F0E0C" w:rsidRDefault="001F0E0C" w:rsidP="001F0E0C">
            <w:pPr>
              <w:rPr>
                <w:rFonts w:cs="Arial"/>
                <w:sz w:val="20"/>
                <w:szCs w:val="20"/>
              </w:rPr>
            </w:pPr>
            <w:r w:rsidRPr="001F0E0C">
              <w:rPr>
                <w:rFonts w:cs="Arial"/>
                <w:sz w:val="20"/>
                <w:szCs w:val="20"/>
              </w:rPr>
              <w:t>Sodium and calcium propionate</w:t>
            </w:r>
          </w:p>
        </w:tc>
        <w:tc>
          <w:tcPr>
            <w:tcW w:w="3686" w:type="dxa"/>
          </w:tcPr>
          <w:p w14:paraId="4288E8CA" w14:textId="4FAD86A9" w:rsidR="001F0E0C" w:rsidRPr="001F0E0C" w:rsidRDefault="00660B18" w:rsidP="00660B18">
            <w:pPr>
              <w:rPr>
                <w:rFonts w:cs="Arial"/>
                <w:sz w:val="20"/>
                <w:szCs w:val="20"/>
              </w:rPr>
            </w:pPr>
            <w:r>
              <w:rPr>
                <w:rFonts w:cs="Arial"/>
                <w:sz w:val="20"/>
                <w:szCs w:val="20"/>
              </w:rPr>
              <w:t>4.3.4</w:t>
            </w:r>
            <w:r>
              <w:rPr>
                <w:rFonts w:cs="Arial"/>
                <w:sz w:val="20"/>
                <w:szCs w:val="20"/>
              </w:rPr>
              <w:tab/>
            </w:r>
            <w:r w:rsidR="001F0E0C" w:rsidRPr="001F0E0C">
              <w:rPr>
                <w:rFonts w:cs="Arial"/>
                <w:sz w:val="20"/>
                <w:szCs w:val="20"/>
              </w:rPr>
              <w:t>fruit and vegetable spreads</w:t>
            </w:r>
            <w:r>
              <w:rPr>
                <w:rFonts w:cs="Arial"/>
                <w:sz w:val="20"/>
                <w:szCs w:val="20"/>
              </w:rPr>
              <w:t xml:space="preserve"> (</w:t>
            </w:r>
            <w:r w:rsidR="001F0E0C" w:rsidRPr="001F0E0C">
              <w:rPr>
                <w:rFonts w:cs="Arial"/>
                <w:sz w:val="20"/>
                <w:szCs w:val="20"/>
              </w:rPr>
              <w:t>including jams, chutneys and related products</w:t>
            </w:r>
            <w:r>
              <w:rPr>
                <w:rFonts w:cs="Arial"/>
                <w:sz w:val="20"/>
                <w:szCs w:val="20"/>
              </w:rPr>
              <w:t>)</w:t>
            </w:r>
          </w:p>
        </w:tc>
        <w:tc>
          <w:tcPr>
            <w:tcW w:w="2976" w:type="dxa"/>
          </w:tcPr>
          <w:p w14:paraId="195766ED" w14:textId="77777777" w:rsidR="001F0E0C" w:rsidRPr="001F0E0C" w:rsidRDefault="001F0E0C" w:rsidP="001F0E0C">
            <w:pPr>
              <w:rPr>
                <w:rFonts w:cs="Arial"/>
                <w:sz w:val="20"/>
                <w:szCs w:val="20"/>
              </w:rPr>
            </w:pPr>
            <w:r w:rsidRPr="001F0E0C">
              <w:rPr>
                <w:rFonts w:cs="Arial"/>
                <w:sz w:val="20"/>
                <w:szCs w:val="20"/>
              </w:rPr>
              <w:t>GMP</w:t>
            </w:r>
          </w:p>
        </w:tc>
      </w:tr>
      <w:tr w:rsidR="001F0E0C" w:rsidRPr="001F0E0C" w14:paraId="03395527" w14:textId="77777777" w:rsidTr="000A72E1">
        <w:trPr>
          <w:cantSplit/>
        </w:trPr>
        <w:tc>
          <w:tcPr>
            <w:tcW w:w="2268" w:type="dxa"/>
          </w:tcPr>
          <w:p w14:paraId="2A170611" w14:textId="77777777" w:rsidR="001F0E0C" w:rsidRPr="001F0E0C" w:rsidRDefault="001F0E0C" w:rsidP="001F0E0C">
            <w:pPr>
              <w:rPr>
                <w:rFonts w:cs="Arial"/>
                <w:sz w:val="20"/>
                <w:szCs w:val="20"/>
              </w:rPr>
            </w:pPr>
            <w:r w:rsidRPr="001F0E0C">
              <w:rPr>
                <w:rFonts w:cs="Arial"/>
                <w:sz w:val="20"/>
                <w:szCs w:val="20"/>
              </w:rPr>
              <w:t>Sodium and calcium propionate</w:t>
            </w:r>
          </w:p>
        </w:tc>
        <w:tc>
          <w:tcPr>
            <w:tcW w:w="3686" w:type="dxa"/>
          </w:tcPr>
          <w:p w14:paraId="505086E7" w14:textId="03B5D6EF" w:rsidR="001F0E0C" w:rsidRPr="001F0E0C" w:rsidRDefault="00660B18" w:rsidP="001F0E0C">
            <w:pPr>
              <w:rPr>
                <w:rFonts w:cs="Arial"/>
                <w:sz w:val="20"/>
                <w:szCs w:val="20"/>
              </w:rPr>
            </w:pPr>
            <w:r>
              <w:rPr>
                <w:rFonts w:cs="Arial"/>
                <w:sz w:val="20"/>
                <w:szCs w:val="20"/>
              </w:rPr>
              <w:t>14.1.2</w:t>
            </w:r>
            <w:r>
              <w:rPr>
                <w:rFonts w:cs="Arial"/>
                <w:sz w:val="20"/>
                <w:szCs w:val="20"/>
              </w:rPr>
              <w:tab/>
              <w:t xml:space="preserve"> </w:t>
            </w:r>
            <w:r w:rsidR="001F0E0C" w:rsidRPr="001F0E0C">
              <w:rPr>
                <w:rFonts w:cs="Arial"/>
                <w:sz w:val="20"/>
                <w:szCs w:val="20"/>
              </w:rPr>
              <w:t>fruit and vegetable juices and fruit and vegetable juice products</w:t>
            </w:r>
          </w:p>
        </w:tc>
        <w:tc>
          <w:tcPr>
            <w:tcW w:w="2976" w:type="dxa"/>
          </w:tcPr>
          <w:p w14:paraId="3C5425C2" w14:textId="77777777" w:rsidR="001F0E0C" w:rsidRPr="001F0E0C" w:rsidRDefault="001F0E0C" w:rsidP="001F0E0C">
            <w:pPr>
              <w:rPr>
                <w:rFonts w:cs="Arial"/>
                <w:sz w:val="20"/>
                <w:szCs w:val="20"/>
              </w:rPr>
            </w:pPr>
            <w:r w:rsidRPr="001F0E0C">
              <w:rPr>
                <w:rFonts w:cs="Arial"/>
                <w:sz w:val="20"/>
                <w:szCs w:val="20"/>
              </w:rPr>
              <w:t>GMP</w:t>
            </w:r>
          </w:p>
        </w:tc>
      </w:tr>
      <w:tr w:rsidR="001F0E0C" w:rsidRPr="001F0E0C" w14:paraId="724BD9E7" w14:textId="77777777" w:rsidTr="000A72E1">
        <w:trPr>
          <w:cantSplit/>
        </w:trPr>
        <w:tc>
          <w:tcPr>
            <w:tcW w:w="2268" w:type="dxa"/>
          </w:tcPr>
          <w:p w14:paraId="49846C32" w14:textId="77777777" w:rsidR="001F0E0C" w:rsidRPr="001F0E0C" w:rsidRDefault="001F0E0C" w:rsidP="001F0E0C">
            <w:pPr>
              <w:rPr>
                <w:rFonts w:cs="Arial"/>
                <w:sz w:val="20"/>
                <w:szCs w:val="20"/>
              </w:rPr>
            </w:pPr>
            <w:r w:rsidRPr="001F0E0C">
              <w:rPr>
                <w:rFonts w:cs="Arial"/>
                <w:sz w:val="20"/>
                <w:szCs w:val="20"/>
              </w:rPr>
              <w:t>Sodium and calcium propionate</w:t>
            </w:r>
          </w:p>
        </w:tc>
        <w:tc>
          <w:tcPr>
            <w:tcW w:w="3686" w:type="dxa"/>
          </w:tcPr>
          <w:p w14:paraId="78378863" w14:textId="2AFC8595" w:rsidR="001F0E0C" w:rsidRPr="001F0E0C" w:rsidRDefault="00660B18" w:rsidP="001F0E0C">
            <w:pPr>
              <w:rPr>
                <w:rFonts w:cs="Arial"/>
                <w:sz w:val="20"/>
                <w:szCs w:val="20"/>
              </w:rPr>
            </w:pPr>
            <w:r>
              <w:rPr>
                <w:rFonts w:cs="Arial"/>
                <w:sz w:val="20"/>
                <w:szCs w:val="20"/>
              </w:rPr>
              <w:t>14.1.4</w:t>
            </w:r>
            <w:r>
              <w:rPr>
                <w:rFonts w:cs="Arial"/>
                <w:sz w:val="20"/>
                <w:szCs w:val="20"/>
              </w:rPr>
              <w:tab/>
              <w:t xml:space="preserve"> </w:t>
            </w:r>
            <w:r w:rsidR="001F0E0C" w:rsidRPr="001F0E0C">
              <w:rPr>
                <w:rFonts w:cs="Arial"/>
                <w:sz w:val="20"/>
                <w:szCs w:val="20"/>
              </w:rPr>
              <w:t>formulated beverages</w:t>
            </w:r>
          </w:p>
        </w:tc>
        <w:tc>
          <w:tcPr>
            <w:tcW w:w="2976" w:type="dxa"/>
          </w:tcPr>
          <w:p w14:paraId="05784716" w14:textId="77777777" w:rsidR="001F0E0C" w:rsidRPr="001F0E0C" w:rsidRDefault="001F0E0C" w:rsidP="001F0E0C">
            <w:pPr>
              <w:rPr>
                <w:rFonts w:cs="Arial"/>
                <w:sz w:val="20"/>
                <w:szCs w:val="20"/>
              </w:rPr>
            </w:pPr>
            <w:r w:rsidRPr="001F0E0C">
              <w:rPr>
                <w:rFonts w:cs="Arial"/>
                <w:sz w:val="20"/>
                <w:szCs w:val="20"/>
              </w:rPr>
              <w:t>GMP</w:t>
            </w:r>
          </w:p>
        </w:tc>
      </w:tr>
      <w:tr w:rsidR="001F0E0C" w:rsidRPr="001F0E0C" w14:paraId="0F1830AF" w14:textId="77777777" w:rsidTr="000A72E1">
        <w:trPr>
          <w:cantSplit/>
        </w:trPr>
        <w:tc>
          <w:tcPr>
            <w:tcW w:w="2268" w:type="dxa"/>
          </w:tcPr>
          <w:p w14:paraId="62F3549F" w14:textId="77777777" w:rsidR="001F0E0C" w:rsidRPr="001F0E0C" w:rsidRDefault="001F0E0C" w:rsidP="001F0E0C">
            <w:pPr>
              <w:rPr>
                <w:rFonts w:cs="Arial"/>
                <w:sz w:val="20"/>
                <w:szCs w:val="20"/>
              </w:rPr>
            </w:pPr>
            <w:r w:rsidRPr="001F0E0C">
              <w:rPr>
                <w:rFonts w:cs="Arial"/>
                <w:sz w:val="20"/>
                <w:szCs w:val="20"/>
              </w:rPr>
              <w:t>Sodium and calcium propionate</w:t>
            </w:r>
          </w:p>
        </w:tc>
        <w:tc>
          <w:tcPr>
            <w:tcW w:w="3686" w:type="dxa"/>
          </w:tcPr>
          <w:p w14:paraId="2C025292" w14:textId="68DC855C" w:rsidR="001F0E0C" w:rsidRPr="001F0E0C" w:rsidRDefault="00660B18" w:rsidP="001F0E0C">
            <w:pPr>
              <w:rPr>
                <w:rFonts w:cs="Arial"/>
                <w:sz w:val="20"/>
                <w:szCs w:val="20"/>
              </w:rPr>
            </w:pPr>
            <w:r>
              <w:rPr>
                <w:rFonts w:cs="Arial"/>
                <w:sz w:val="20"/>
                <w:szCs w:val="20"/>
              </w:rPr>
              <w:t xml:space="preserve">20.2.0.4 </w:t>
            </w:r>
            <w:r w:rsidR="001F0E0C" w:rsidRPr="001F0E0C">
              <w:rPr>
                <w:rFonts w:cs="Arial"/>
                <w:sz w:val="20"/>
                <w:szCs w:val="20"/>
              </w:rPr>
              <w:t>sauces and toppings, including mayonnaises and salad dressings</w:t>
            </w:r>
          </w:p>
        </w:tc>
        <w:tc>
          <w:tcPr>
            <w:tcW w:w="2976" w:type="dxa"/>
          </w:tcPr>
          <w:p w14:paraId="702679B6" w14:textId="77777777" w:rsidR="001F0E0C" w:rsidRPr="001F0E0C" w:rsidRDefault="001F0E0C" w:rsidP="001F0E0C">
            <w:pPr>
              <w:rPr>
                <w:rFonts w:cs="Arial"/>
                <w:sz w:val="20"/>
                <w:szCs w:val="20"/>
              </w:rPr>
            </w:pPr>
            <w:r w:rsidRPr="001F0E0C">
              <w:rPr>
                <w:rFonts w:cs="Arial"/>
                <w:sz w:val="20"/>
                <w:szCs w:val="20"/>
              </w:rPr>
              <w:t>GMP</w:t>
            </w:r>
          </w:p>
        </w:tc>
      </w:tr>
      <w:tr w:rsidR="001F0E0C" w:rsidRPr="001F0E0C" w14:paraId="4C4F9473" w14:textId="77777777" w:rsidTr="000A72E1">
        <w:trPr>
          <w:cantSplit/>
        </w:trPr>
        <w:tc>
          <w:tcPr>
            <w:tcW w:w="2268" w:type="dxa"/>
          </w:tcPr>
          <w:p w14:paraId="2E105CE7" w14:textId="77777777" w:rsidR="001F0E0C" w:rsidRPr="001F0E0C" w:rsidRDefault="001F0E0C" w:rsidP="001F0E0C">
            <w:pPr>
              <w:rPr>
                <w:rFonts w:cs="Arial"/>
                <w:sz w:val="20"/>
                <w:szCs w:val="20"/>
              </w:rPr>
            </w:pPr>
            <w:r w:rsidRPr="001F0E0C">
              <w:rPr>
                <w:rFonts w:cs="Arial"/>
                <w:sz w:val="20"/>
                <w:szCs w:val="20"/>
              </w:rPr>
              <w:t>Propionic acid and its  sodium and calcium salts</w:t>
            </w:r>
          </w:p>
        </w:tc>
        <w:tc>
          <w:tcPr>
            <w:tcW w:w="3686" w:type="dxa"/>
          </w:tcPr>
          <w:p w14:paraId="44C8CDA7" w14:textId="74F183F7" w:rsidR="001F0E0C" w:rsidRPr="001F0E0C" w:rsidRDefault="00660B18" w:rsidP="001F0E0C">
            <w:pPr>
              <w:rPr>
                <w:rFonts w:cs="Arial"/>
                <w:sz w:val="20"/>
                <w:szCs w:val="20"/>
              </w:rPr>
            </w:pPr>
            <w:r>
              <w:rPr>
                <w:rFonts w:cs="Arial"/>
                <w:sz w:val="20"/>
                <w:szCs w:val="20"/>
              </w:rPr>
              <w:t xml:space="preserve">13.1.4.1 </w:t>
            </w:r>
            <w:r w:rsidR="001F0E0C" w:rsidRPr="001F0E0C">
              <w:rPr>
                <w:rFonts w:cs="Arial"/>
                <w:sz w:val="20"/>
                <w:szCs w:val="20"/>
              </w:rPr>
              <w:t>Solid formulated supplementary sports foods</w:t>
            </w:r>
          </w:p>
        </w:tc>
        <w:tc>
          <w:tcPr>
            <w:tcW w:w="2976" w:type="dxa"/>
          </w:tcPr>
          <w:p w14:paraId="6686614C" w14:textId="77777777" w:rsidR="001F0E0C" w:rsidRPr="001F0E0C" w:rsidRDefault="001F0E0C" w:rsidP="001F0E0C">
            <w:pPr>
              <w:rPr>
                <w:rFonts w:cs="Arial"/>
                <w:sz w:val="20"/>
                <w:szCs w:val="20"/>
              </w:rPr>
            </w:pPr>
            <w:r w:rsidRPr="001F0E0C">
              <w:rPr>
                <w:rFonts w:cs="Arial"/>
                <w:sz w:val="20"/>
                <w:szCs w:val="20"/>
              </w:rPr>
              <w:t>Up to an MPL of 400 mg/kg</w:t>
            </w:r>
          </w:p>
        </w:tc>
      </w:tr>
    </w:tbl>
    <w:p w14:paraId="349E2E35" w14:textId="398B7E5E" w:rsidR="001F0E0C" w:rsidRPr="001F0E0C" w:rsidRDefault="00605C68" w:rsidP="00605C68">
      <w:pPr>
        <w:pStyle w:val="Heading3"/>
      </w:pPr>
      <w:bookmarkStart w:id="29" w:name="_Toc454787470"/>
      <w:bookmarkStart w:id="30" w:name="_Toc460941260"/>
      <w:r>
        <w:lastRenderedPageBreak/>
        <w:t>1.3.1</w:t>
      </w:r>
      <w:r>
        <w:tab/>
      </w:r>
      <w:r w:rsidR="001F0E0C" w:rsidRPr="001F0E0C">
        <w:t>Codex standard</w:t>
      </w:r>
      <w:bookmarkEnd w:id="29"/>
      <w:bookmarkEnd w:id="30"/>
    </w:p>
    <w:p w14:paraId="335F78A1" w14:textId="77777777" w:rsidR="001F0E0C" w:rsidRPr="001F0E0C" w:rsidRDefault="001F0E0C" w:rsidP="001F0E0C">
      <w:r w:rsidRPr="001F0E0C">
        <w:t>The Codex General Standard for Food Additives (GSFA)</w:t>
      </w:r>
      <w:r w:rsidRPr="001F0E0C">
        <w:rPr>
          <w:vertAlign w:val="superscript"/>
        </w:rPr>
        <w:footnoteReference w:id="5"/>
      </w:r>
      <w:r w:rsidRPr="001F0E0C">
        <w:t xml:space="preserve"> permits the use of propionates, as food additives (preservatives), under the conditions of GMP in the following two food categories:</w:t>
      </w:r>
    </w:p>
    <w:p w14:paraId="70A38D01" w14:textId="77777777" w:rsidR="001F0E0C" w:rsidRPr="001F0E0C" w:rsidRDefault="001F0E0C" w:rsidP="001F0E0C">
      <w:r w:rsidRPr="001F0E0C">
        <w:t xml:space="preserve"> </w:t>
      </w:r>
    </w:p>
    <w:p w14:paraId="4D655B5E" w14:textId="4541B437" w:rsidR="001F0E0C" w:rsidRPr="001F0E0C" w:rsidRDefault="001F0E0C" w:rsidP="000A72E1">
      <w:pPr>
        <w:pStyle w:val="FSBullet1"/>
      </w:pPr>
      <w:r w:rsidRPr="001F0E0C">
        <w:t xml:space="preserve">08.2 </w:t>
      </w:r>
      <w:r w:rsidR="0077215B">
        <w:t>– P</w:t>
      </w:r>
      <w:r w:rsidRPr="001F0E0C">
        <w:t>rocessed meat, poultry</w:t>
      </w:r>
      <w:r w:rsidR="0057350D">
        <w:t>,</w:t>
      </w:r>
      <w:r w:rsidRPr="001F0E0C">
        <w:t xml:space="preserve"> and game products in whole</w:t>
      </w:r>
      <w:r w:rsidR="0057350D">
        <w:t xml:space="preserve"> pieces or</w:t>
      </w:r>
      <w:r w:rsidRPr="001F0E0C">
        <w:t xml:space="preserve"> cuts, and</w:t>
      </w:r>
    </w:p>
    <w:p w14:paraId="446F16AA" w14:textId="116E30A3" w:rsidR="001F0E0C" w:rsidRPr="001F0E0C" w:rsidRDefault="001F0E0C" w:rsidP="000A72E1">
      <w:pPr>
        <w:pStyle w:val="FSBullet1"/>
      </w:pPr>
      <w:r w:rsidRPr="001F0E0C">
        <w:t xml:space="preserve">08.3 </w:t>
      </w:r>
      <w:r w:rsidR="0077215B">
        <w:t>–</w:t>
      </w:r>
      <w:r w:rsidRPr="001F0E0C">
        <w:t xml:space="preserve"> </w:t>
      </w:r>
      <w:r w:rsidR="0077215B">
        <w:t>Pr</w:t>
      </w:r>
      <w:r w:rsidRPr="001F0E0C">
        <w:t xml:space="preserve">ocessed </w:t>
      </w:r>
      <w:proofErr w:type="spellStart"/>
      <w:r w:rsidRPr="001F0E0C">
        <w:t>comminuted</w:t>
      </w:r>
      <w:proofErr w:type="spellEnd"/>
      <w:r w:rsidRPr="001F0E0C">
        <w:t xml:space="preserve"> meat, poultry</w:t>
      </w:r>
      <w:r w:rsidR="0057350D">
        <w:t>,</w:t>
      </w:r>
      <w:r w:rsidRPr="001F0E0C">
        <w:t xml:space="preserve"> and game products.</w:t>
      </w:r>
    </w:p>
    <w:p w14:paraId="74C558B6" w14:textId="2E52E3E9" w:rsidR="001F0E0C" w:rsidRPr="001F0E0C" w:rsidRDefault="001F0E0C" w:rsidP="00605C68">
      <w:pPr>
        <w:pStyle w:val="Heading3"/>
      </w:pPr>
      <w:bookmarkStart w:id="31" w:name="_Toc454787471"/>
      <w:bookmarkStart w:id="32" w:name="_Toc460941261"/>
      <w:r w:rsidRPr="001F0E0C">
        <w:t>1.3.2</w:t>
      </w:r>
      <w:r w:rsidR="00605C68">
        <w:tab/>
      </w:r>
      <w:r w:rsidRPr="001F0E0C">
        <w:t>The United States Food and Drug Administration</w:t>
      </w:r>
      <w:bookmarkEnd w:id="31"/>
      <w:bookmarkEnd w:id="32"/>
      <w:r w:rsidRPr="001F0E0C">
        <w:t xml:space="preserve"> </w:t>
      </w:r>
    </w:p>
    <w:p w14:paraId="6C83101B" w14:textId="08470778" w:rsidR="00605C68" w:rsidRDefault="001F0E0C" w:rsidP="001F0E0C">
      <w:pPr>
        <w:rPr>
          <w:lang w:eastAsia="en-AU" w:bidi="ar-SA"/>
        </w:rPr>
      </w:pPr>
      <w:r w:rsidRPr="001F0E0C">
        <w:rPr>
          <w:lang w:eastAsia="en-AU" w:bidi="ar-SA"/>
        </w:rPr>
        <w:t>The United States Food and Drug Administration (US</w:t>
      </w:r>
      <w:r w:rsidR="0047037D">
        <w:rPr>
          <w:lang w:eastAsia="en-AU" w:bidi="ar-SA"/>
        </w:rPr>
        <w:t xml:space="preserve"> </w:t>
      </w:r>
      <w:r w:rsidRPr="001F0E0C">
        <w:rPr>
          <w:lang w:eastAsia="en-AU" w:bidi="ar-SA"/>
        </w:rPr>
        <w:t>FDA)</w:t>
      </w:r>
      <w:r w:rsidR="00991FAB">
        <w:rPr>
          <w:lang w:eastAsia="en-AU" w:bidi="ar-SA"/>
        </w:rPr>
        <w:t xml:space="preserve"> </w:t>
      </w:r>
      <w:r w:rsidR="0089788F" w:rsidRPr="001F0E0C">
        <w:rPr>
          <w:lang w:eastAsia="en-AU" w:bidi="ar-SA"/>
        </w:rPr>
        <w:t>permit</w:t>
      </w:r>
      <w:r w:rsidR="00CA3E2E">
        <w:rPr>
          <w:lang w:eastAsia="en-AU" w:bidi="ar-SA"/>
        </w:rPr>
        <w:t>s</w:t>
      </w:r>
      <w:r w:rsidR="0089788F" w:rsidRPr="001F0E0C">
        <w:rPr>
          <w:lang w:eastAsia="en-AU" w:bidi="ar-SA"/>
        </w:rPr>
        <w:t xml:space="preserve"> the use of propionic acid </w:t>
      </w:r>
      <w:r w:rsidR="0089788F">
        <w:rPr>
          <w:lang w:eastAsia="en-AU" w:bidi="ar-SA"/>
        </w:rPr>
        <w:t>(</w:t>
      </w:r>
      <w:r w:rsidR="0089788F">
        <w:rPr>
          <w:rFonts w:cs="Arial"/>
        </w:rPr>
        <w:t>§184.1081</w:t>
      </w:r>
      <w:r w:rsidR="0089788F">
        <w:rPr>
          <w:lang w:eastAsia="en-AU" w:bidi="ar-SA"/>
        </w:rPr>
        <w:t xml:space="preserve">) </w:t>
      </w:r>
      <w:r w:rsidR="0089788F" w:rsidRPr="001F0E0C">
        <w:rPr>
          <w:lang w:eastAsia="en-AU" w:bidi="ar-SA"/>
        </w:rPr>
        <w:t>and sodium propionate</w:t>
      </w:r>
      <w:r w:rsidR="0089788F">
        <w:rPr>
          <w:lang w:eastAsia="en-AU" w:bidi="ar-SA"/>
        </w:rPr>
        <w:t xml:space="preserve"> (</w:t>
      </w:r>
      <w:r w:rsidR="0089788F">
        <w:rPr>
          <w:rFonts w:cs="Arial"/>
        </w:rPr>
        <w:t>§184.1784)</w:t>
      </w:r>
      <w:r w:rsidR="0089788F" w:rsidRPr="001F0E0C">
        <w:rPr>
          <w:vertAlign w:val="superscript"/>
          <w:lang w:eastAsia="en-AU" w:bidi="ar-SA"/>
        </w:rPr>
        <w:footnoteReference w:id="6"/>
      </w:r>
      <w:r w:rsidR="0089788F">
        <w:rPr>
          <w:rFonts w:cs="Arial"/>
        </w:rPr>
        <w:t xml:space="preserve"> </w:t>
      </w:r>
      <w:r w:rsidR="00991FAB">
        <w:rPr>
          <w:lang w:eastAsia="en-AU" w:bidi="ar-SA"/>
        </w:rPr>
        <w:t>in the Code of Federal Regulations (CFR), Title 21 (Food and Drugs)</w:t>
      </w:r>
      <w:r w:rsidR="00F20033">
        <w:rPr>
          <w:lang w:eastAsia="en-AU" w:bidi="ar-SA"/>
        </w:rPr>
        <w:t xml:space="preserve">. </w:t>
      </w:r>
      <w:r w:rsidR="0089788F">
        <w:rPr>
          <w:lang w:eastAsia="en-AU" w:bidi="ar-SA"/>
        </w:rPr>
        <w:t>These</w:t>
      </w:r>
      <w:r w:rsidRPr="001F0E0C">
        <w:rPr>
          <w:lang w:eastAsia="en-AU" w:bidi="ar-SA"/>
        </w:rPr>
        <w:t xml:space="preserve"> </w:t>
      </w:r>
      <w:r w:rsidR="0089788F">
        <w:rPr>
          <w:lang w:eastAsia="en-AU" w:bidi="ar-SA"/>
        </w:rPr>
        <w:t>substances are classified as</w:t>
      </w:r>
      <w:r w:rsidRPr="001F0E0C">
        <w:rPr>
          <w:lang w:eastAsia="en-AU" w:bidi="ar-SA"/>
        </w:rPr>
        <w:t xml:space="preserve"> </w:t>
      </w:r>
      <w:r w:rsidR="0089788F">
        <w:rPr>
          <w:lang w:eastAsia="en-AU" w:bidi="ar-SA"/>
        </w:rPr>
        <w:t xml:space="preserve">generally recognized as safe (GRAS) </w:t>
      </w:r>
      <w:r w:rsidRPr="001F0E0C">
        <w:rPr>
          <w:lang w:eastAsia="en-AU" w:bidi="ar-SA"/>
        </w:rPr>
        <w:t>anti-microbial</w:t>
      </w:r>
      <w:r w:rsidR="00991FAB">
        <w:rPr>
          <w:lang w:eastAsia="en-AU" w:bidi="ar-SA"/>
        </w:rPr>
        <w:t xml:space="preserve"> agents</w:t>
      </w:r>
      <w:r w:rsidRPr="001F0E0C">
        <w:rPr>
          <w:lang w:eastAsia="en-AU" w:bidi="ar-SA"/>
        </w:rPr>
        <w:t xml:space="preserve"> (preservatives) </w:t>
      </w:r>
      <w:r w:rsidR="00991FAB">
        <w:rPr>
          <w:lang w:eastAsia="en-AU" w:bidi="ar-SA"/>
        </w:rPr>
        <w:t xml:space="preserve">used at GMP in different food products including meat products </w:t>
      </w:r>
      <w:r w:rsidR="00826620">
        <w:rPr>
          <w:lang w:eastAsia="en-AU" w:bidi="ar-SA"/>
        </w:rPr>
        <w:t>(</w:t>
      </w:r>
      <w:r w:rsidR="00991FAB">
        <w:rPr>
          <w:lang w:eastAsia="en-AU" w:bidi="ar-SA"/>
        </w:rPr>
        <w:t xml:space="preserve">defined in </w:t>
      </w:r>
      <w:r w:rsidR="00991FAB">
        <w:rPr>
          <w:rFonts w:cs="Arial"/>
        </w:rPr>
        <w:t>§170.3(n</w:t>
      </w:r>
      <w:proofErr w:type="gramStart"/>
      <w:r w:rsidR="00991FAB">
        <w:rPr>
          <w:rFonts w:cs="Arial"/>
        </w:rPr>
        <w:t>)(</w:t>
      </w:r>
      <w:proofErr w:type="gramEnd"/>
      <w:r w:rsidR="00991FAB">
        <w:rPr>
          <w:rFonts w:cs="Arial"/>
        </w:rPr>
        <w:t>29</w:t>
      </w:r>
      <w:r w:rsidR="00826620">
        <w:rPr>
          <w:rFonts w:cs="Arial"/>
        </w:rPr>
        <w:t>)</w:t>
      </w:r>
      <w:r w:rsidR="00991FAB">
        <w:rPr>
          <w:rFonts w:cs="Arial"/>
        </w:rPr>
        <w:t>)</w:t>
      </w:r>
      <w:r w:rsidRPr="001F0E0C">
        <w:rPr>
          <w:lang w:eastAsia="en-AU" w:bidi="ar-SA"/>
        </w:rPr>
        <w:t xml:space="preserve">. </w:t>
      </w:r>
      <w:r w:rsidR="00F44BFC">
        <w:rPr>
          <w:lang w:eastAsia="en-AU" w:bidi="ar-SA"/>
        </w:rPr>
        <w:t>The United States Department of Agriculture (USDA) FSIS Directive 7210.1 (Revision 15 of 30 April 2013)</w:t>
      </w:r>
      <w:r w:rsidR="00F44BFC">
        <w:rPr>
          <w:rStyle w:val="FootnoteReference"/>
          <w:lang w:eastAsia="en-AU" w:bidi="ar-SA"/>
        </w:rPr>
        <w:footnoteReference w:id="7"/>
      </w:r>
      <w:r w:rsidR="00F44BFC">
        <w:rPr>
          <w:lang w:eastAsia="en-AU" w:bidi="ar-SA"/>
        </w:rPr>
        <w:t xml:space="preserve"> permits the use of sodium propionate and propionic acid to treat ready-to-eat meat and poultry, where antimicrobials are permitted. The limit for treatment is up to 0.5% (by weight of total formulation).</w:t>
      </w:r>
    </w:p>
    <w:p w14:paraId="52B250E1" w14:textId="64B0D965" w:rsidR="00605C68" w:rsidRDefault="00605C68" w:rsidP="00605C68">
      <w:pPr>
        <w:pStyle w:val="Heading3"/>
      </w:pPr>
      <w:bookmarkStart w:id="33" w:name="_Toc460941262"/>
      <w:r>
        <w:t>1.3.3</w:t>
      </w:r>
      <w:r>
        <w:tab/>
        <w:t>European Union</w:t>
      </w:r>
      <w:bookmarkEnd w:id="33"/>
    </w:p>
    <w:p w14:paraId="496C8ED8" w14:textId="1465870B" w:rsidR="00605C68" w:rsidRPr="00605C68" w:rsidRDefault="00605C68" w:rsidP="00605C68">
      <w:pPr>
        <w:rPr>
          <w:lang w:eastAsia="en-AU" w:bidi="ar-SA"/>
        </w:rPr>
      </w:pPr>
      <w:r>
        <w:rPr>
          <w:lang w:eastAsia="en-AU" w:bidi="ar-SA"/>
        </w:rPr>
        <w:t xml:space="preserve">The European Food Safety Authority (EFSA) Panel on Food Additives and Nutrient Sources Added to Food (ANS) released an assessment in </w:t>
      </w:r>
      <w:r w:rsidR="00552F50">
        <w:rPr>
          <w:lang w:eastAsia="en-AU" w:bidi="ar-SA"/>
        </w:rPr>
        <w:t>August</w:t>
      </w:r>
      <w:r>
        <w:rPr>
          <w:lang w:eastAsia="en-AU" w:bidi="ar-SA"/>
        </w:rPr>
        <w:t xml:space="preserve"> 2016</w:t>
      </w:r>
      <w:r w:rsidR="00552F50">
        <w:rPr>
          <w:rStyle w:val="FootnoteReference"/>
          <w:lang w:eastAsia="en-AU" w:bidi="ar-SA"/>
        </w:rPr>
        <w:footnoteReference w:id="8"/>
      </w:r>
      <w:r>
        <w:rPr>
          <w:lang w:eastAsia="en-AU" w:bidi="ar-SA"/>
        </w:rPr>
        <w:t xml:space="preserve"> concluding that sodium propionate as an antimicrobial agent food additive used in treating meat preparations, processed meat and fish up to 5,000 mg/kg “would not be of safety concern”. The European Commission</w:t>
      </w:r>
      <w:r w:rsidR="00552F50">
        <w:rPr>
          <w:lang w:eastAsia="en-AU" w:bidi="ar-SA"/>
        </w:rPr>
        <w:t xml:space="preserve"> will need to consider whether to approve the extension of use of this food additive.</w:t>
      </w:r>
    </w:p>
    <w:p w14:paraId="22C2EE0D" w14:textId="2FEB2E2A" w:rsidR="007A53BF" w:rsidRPr="007A53BF" w:rsidRDefault="007A53BF" w:rsidP="00CE59AA">
      <w:pPr>
        <w:pStyle w:val="Heading2"/>
        <w:rPr>
          <w:u w:color="FFFF00"/>
        </w:rPr>
      </w:pPr>
      <w:bookmarkStart w:id="34" w:name="_Toc460941263"/>
      <w:r w:rsidRPr="007A53BF">
        <w:rPr>
          <w:u w:color="FFFF00"/>
        </w:rPr>
        <w:t>1.4</w:t>
      </w:r>
      <w:r w:rsidRPr="007A53BF">
        <w:rPr>
          <w:u w:color="FFFF00"/>
        </w:rPr>
        <w:tab/>
        <w:t>Reasons for</w:t>
      </w:r>
      <w:r w:rsidRPr="001F0E0C">
        <w:rPr>
          <w:u w:color="FFFF00"/>
        </w:rPr>
        <w:t xml:space="preserve"> accepting Application</w:t>
      </w:r>
      <w:bookmarkEnd w:id="25"/>
      <w:bookmarkEnd w:id="34"/>
      <w:r w:rsidRPr="001F0E0C">
        <w:rPr>
          <w:u w:color="FFFF00"/>
        </w:rPr>
        <w:t xml:space="preserve"> </w:t>
      </w:r>
      <w:bookmarkEnd w:id="26"/>
      <w:bookmarkEnd w:id="27"/>
    </w:p>
    <w:bookmarkEnd w:id="28"/>
    <w:p w14:paraId="2B332B69" w14:textId="77777777" w:rsidR="007A53BF" w:rsidRPr="007F6658" w:rsidRDefault="007A53BF" w:rsidP="007A53BF">
      <w:r w:rsidRPr="007F6658">
        <w:t>The Application was accepted for assessment because:</w:t>
      </w:r>
    </w:p>
    <w:p w14:paraId="651527F2" w14:textId="77777777" w:rsidR="007A53BF" w:rsidRPr="007A53BF" w:rsidRDefault="007A53BF" w:rsidP="007A53BF"/>
    <w:p w14:paraId="77AA4FB8" w14:textId="14ED9D12" w:rsidR="007A53BF" w:rsidRPr="007F6658" w:rsidRDefault="007A53BF" w:rsidP="007A53BF">
      <w:pPr>
        <w:pStyle w:val="FSBullet1"/>
      </w:pPr>
      <w:r w:rsidRPr="007F6658">
        <w:t>it complied with the procedural requirements under subsection 22(2)</w:t>
      </w:r>
      <w:r w:rsidR="003426CB">
        <w:t xml:space="preserve"> of the FSANZ Act</w:t>
      </w:r>
    </w:p>
    <w:p w14:paraId="5BC139C2" w14:textId="674D5AC0" w:rsidR="007A53BF" w:rsidRPr="007F6658" w:rsidRDefault="007A53BF" w:rsidP="007A53BF">
      <w:pPr>
        <w:pStyle w:val="FSBullet1"/>
      </w:pPr>
      <w:proofErr w:type="gramStart"/>
      <w:r w:rsidRPr="007F6658">
        <w:t>it</w:t>
      </w:r>
      <w:proofErr w:type="gramEnd"/>
      <w:r w:rsidRPr="007F6658">
        <w:t xml:space="preserve"> related to a matter that warranted the variation of a food regulatory measure</w:t>
      </w:r>
      <w:r w:rsidR="0077630E">
        <w:t>.</w:t>
      </w:r>
    </w:p>
    <w:p w14:paraId="0C0378B3" w14:textId="77777777" w:rsidR="007A53BF" w:rsidRPr="007A53BF" w:rsidRDefault="007A53BF" w:rsidP="00CE59AA">
      <w:pPr>
        <w:pStyle w:val="Heading2"/>
      </w:pPr>
      <w:bookmarkStart w:id="35" w:name="_Toc370223469"/>
      <w:bookmarkStart w:id="36" w:name="_Toc460941264"/>
      <w:r w:rsidRPr="007A53BF">
        <w:t>1.5</w:t>
      </w:r>
      <w:r w:rsidRPr="007A53BF">
        <w:tab/>
        <w:t>Procedure for assessment</w:t>
      </w:r>
      <w:bookmarkEnd w:id="35"/>
      <w:bookmarkEnd w:id="36"/>
    </w:p>
    <w:p w14:paraId="7C3A32E1" w14:textId="4A29F72A" w:rsidR="00103C7B" w:rsidRDefault="00AF397D" w:rsidP="00AF397D">
      <w:r w:rsidRPr="001F0E0C">
        <w:t>The Application was assessed under the Genera</w:t>
      </w:r>
      <w:r w:rsidR="001F0E0C" w:rsidRPr="001F0E0C">
        <w:t>l</w:t>
      </w:r>
      <w:r w:rsidRPr="001F0E0C">
        <w:t xml:space="preserve"> Procedure</w:t>
      </w:r>
      <w:r w:rsidRPr="00932F14">
        <w:t>.</w:t>
      </w:r>
      <w:r w:rsidR="00103C7B">
        <w:br w:type="page"/>
      </w:r>
    </w:p>
    <w:p w14:paraId="49B95CBD" w14:textId="77777777" w:rsidR="0012388D" w:rsidRDefault="007A53BF" w:rsidP="00755F02">
      <w:pPr>
        <w:pStyle w:val="Heading1"/>
      </w:pPr>
      <w:bookmarkStart w:id="37" w:name="_Toc460941265"/>
      <w:bookmarkStart w:id="38" w:name="_Toc11735630"/>
      <w:bookmarkStart w:id="39" w:name="_Toc29883114"/>
      <w:bookmarkStart w:id="40" w:name="_Toc41906801"/>
      <w:bookmarkStart w:id="41" w:name="_Toc41907548"/>
      <w:bookmarkStart w:id="42" w:name="_Toc120358578"/>
      <w:bookmarkStart w:id="43" w:name="_Toc175381435"/>
      <w:bookmarkEnd w:id="5"/>
      <w:bookmarkEnd w:id="6"/>
      <w:bookmarkEnd w:id="7"/>
      <w:bookmarkEnd w:id="8"/>
      <w:bookmarkEnd w:id="9"/>
      <w:r>
        <w:lastRenderedPageBreak/>
        <w:t>2</w:t>
      </w:r>
      <w:r w:rsidR="00AC428E">
        <w:tab/>
      </w:r>
      <w:r w:rsidR="00AF387F" w:rsidRPr="00CC560B">
        <w:t xml:space="preserve">Summary </w:t>
      </w:r>
      <w:r w:rsidR="00AF387F" w:rsidRPr="000B6AF2">
        <w:rPr>
          <w:u w:color="FFFF00"/>
        </w:rPr>
        <w:t>of</w:t>
      </w:r>
      <w:r w:rsidR="00AF387F" w:rsidRPr="00CC560B">
        <w:t xml:space="preserve"> the findings</w:t>
      </w:r>
      <w:bookmarkEnd w:id="37"/>
    </w:p>
    <w:p w14:paraId="67278C82" w14:textId="77777777" w:rsidR="007A53BF" w:rsidRPr="002C1A3B" w:rsidRDefault="007A53BF" w:rsidP="007A53BF">
      <w:pPr>
        <w:pStyle w:val="Heading2"/>
      </w:pPr>
      <w:bookmarkStart w:id="44" w:name="_Toc300933438"/>
      <w:bookmarkStart w:id="45" w:name="_Toc370223471"/>
      <w:bookmarkStart w:id="46" w:name="_Toc370225386"/>
      <w:bookmarkStart w:id="47" w:name="_Toc460941266"/>
      <w:bookmarkStart w:id="48" w:name="_Toc286391009"/>
      <w:bookmarkStart w:id="49" w:name="_Toc300933425"/>
      <w:bookmarkStart w:id="50" w:name="_Toc309291838"/>
      <w:bookmarkStart w:id="51" w:name="_Toc309385455"/>
      <w:bookmarkStart w:id="52" w:name="_Toc120358583"/>
      <w:bookmarkStart w:id="53" w:name="_Toc175381440"/>
      <w:r w:rsidRPr="002C1A3B">
        <w:t>2.1</w:t>
      </w:r>
      <w:r w:rsidRPr="002C1A3B">
        <w:tab/>
        <w:t xml:space="preserve">Summary of issues raised </w:t>
      </w:r>
      <w:bookmarkEnd w:id="44"/>
      <w:r w:rsidRPr="002C1A3B">
        <w:t>in submissions</w:t>
      </w:r>
      <w:bookmarkEnd w:id="45"/>
      <w:bookmarkEnd w:id="46"/>
      <w:bookmarkEnd w:id="47"/>
    </w:p>
    <w:p w14:paraId="684419F5" w14:textId="4A88690E" w:rsidR="007A53BF" w:rsidRPr="00F33BB8" w:rsidRDefault="000A01C8" w:rsidP="007A53BF">
      <w:pPr>
        <w:rPr>
          <w:color w:val="00B050"/>
        </w:rPr>
      </w:pPr>
      <w:r>
        <w:t>No issues were raised in submissions</w:t>
      </w:r>
      <w:r w:rsidR="00F52099">
        <w:t xml:space="preserve"> as the submissions all supported the Application.</w:t>
      </w:r>
    </w:p>
    <w:p w14:paraId="17A4C40B" w14:textId="77777777" w:rsidR="002C1A3B" w:rsidRPr="00932F14" w:rsidRDefault="002C1A3B" w:rsidP="002C1A3B">
      <w:pPr>
        <w:pStyle w:val="Heading2"/>
      </w:pPr>
      <w:bookmarkStart w:id="54" w:name="_Toc370223472"/>
      <w:bookmarkStart w:id="55" w:name="_Toc370225387"/>
      <w:bookmarkStart w:id="56" w:name="_Toc460941267"/>
      <w:bookmarkStart w:id="57" w:name="_Toc309291812"/>
      <w:bookmarkStart w:id="58" w:name="_Toc175381442"/>
      <w:bookmarkEnd w:id="48"/>
      <w:bookmarkEnd w:id="49"/>
      <w:bookmarkEnd w:id="50"/>
      <w:bookmarkEnd w:id="51"/>
      <w:bookmarkEnd w:id="52"/>
      <w:bookmarkEnd w:id="53"/>
      <w:r>
        <w:t>2.2</w:t>
      </w:r>
      <w:r>
        <w:tab/>
      </w:r>
      <w:r w:rsidRPr="00932F14">
        <w:t xml:space="preserve">Risk </w:t>
      </w:r>
      <w:r>
        <w:t>a</w:t>
      </w:r>
      <w:r w:rsidRPr="00932F14">
        <w:t>ssessment</w:t>
      </w:r>
      <w:bookmarkEnd w:id="54"/>
      <w:bookmarkEnd w:id="55"/>
      <w:bookmarkEnd w:id="56"/>
      <w:r w:rsidRPr="00932F14">
        <w:t xml:space="preserve"> </w:t>
      </w:r>
    </w:p>
    <w:p w14:paraId="4513460E" w14:textId="364CD46B" w:rsidR="00B0059A" w:rsidRPr="00B0059A" w:rsidRDefault="00B0059A" w:rsidP="00103C7B">
      <w:pPr>
        <w:ind w:right="-286"/>
      </w:pPr>
      <w:bookmarkStart w:id="59" w:name="_Toc370223473"/>
      <w:bookmarkStart w:id="60" w:name="_Toc370225388"/>
      <w:bookmarkStart w:id="61" w:name="_Toc175381450"/>
      <w:bookmarkEnd w:id="57"/>
      <w:bookmarkEnd w:id="58"/>
      <w:r w:rsidRPr="00B0059A">
        <w:t>FSANZ’s risk assessment is provided in SD1. In summary, evidence submitted in support of this Application provide</w:t>
      </w:r>
      <w:r w:rsidR="003426CB">
        <w:t>d</w:t>
      </w:r>
      <w:r w:rsidRPr="00B0059A">
        <w:t xml:space="preserve"> adequate assurance that propionates fulfil the stated technological function as anti-microbial preservatives in processed meat, poultry and game products. Any additional dietary exposure to propionates resulting from their use as food additives in processed meat, poultry and game products present</w:t>
      </w:r>
      <w:r w:rsidR="003426CB">
        <w:t>ed</w:t>
      </w:r>
      <w:r w:rsidRPr="00B0059A">
        <w:t xml:space="preserve"> no identifiable public health and safety concerns.</w:t>
      </w:r>
    </w:p>
    <w:p w14:paraId="0F73577D" w14:textId="77777777" w:rsidR="00B0059A" w:rsidRPr="00B0059A" w:rsidRDefault="00B0059A" w:rsidP="00B0059A"/>
    <w:p w14:paraId="56F00610" w14:textId="66D675B6" w:rsidR="00B0059A" w:rsidRPr="00B0059A" w:rsidRDefault="00B0059A" w:rsidP="0077215B">
      <w:pPr>
        <w:widowControl/>
      </w:pPr>
      <w:r w:rsidRPr="00B0059A">
        <w:t>Propionic acid is a normal intermediary metabolite in humans and is naturally present in a wide variety of foods e.g. cheese</w:t>
      </w:r>
      <w:r w:rsidR="003426CB">
        <w:t xml:space="preserve"> and</w:t>
      </w:r>
      <w:r w:rsidRPr="00B0059A">
        <w:t xml:space="preserve"> butter. Propionic acid and its sodium, calcium and potassium salts have a long history of use as food additives. Assessments by the Joint FAO/WHO Expert Committee on Food Additives (JECFA) and EFSA have concluded that there is no evidence of systemic toxicity resulting from oral exposure to propionates. Establishment of an </w:t>
      </w:r>
      <w:r w:rsidRPr="00B0059A">
        <w:rPr>
          <w:lang w:bidi="ar-SA"/>
        </w:rPr>
        <w:t>acceptable dietary intake (ADI)</w:t>
      </w:r>
      <w:r w:rsidRPr="00B0059A">
        <w:t xml:space="preserve"> expressed in numerical form was therefore not deemed necessary by JECFA and EFSA; FSANZ agree</w:t>
      </w:r>
      <w:r w:rsidR="003426CB">
        <w:t>d</w:t>
      </w:r>
      <w:r w:rsidRPr="00B0059A">
        <w:t xml:space="preserve"> with this statement.</w:t>
      </w:r>
    </w:p>
    <w:p w14:paraId="512581BB" w14:textId="77777777" w:rsidR="00B0059A" w:rsidRPr="00B0059A" w:rsidRDefault="00B0059A" w:rsidP="00B0059A"/>
    <w:p w14:paraId="26EECEAF" w14:textId="07ABF929" w:rsidR="00B0059A" w:rsidRPr="00B0059A" w:rsidRDefault="00B0059A" w:rsidP="00B0059A">
      <w:r w:rsidRPr="00B0059A">
        <w:t xml:space="preserve">In addition, propionates have been safely permitted as food additives in the Code for many years, in a range of food categories as detailed in </w:t>
      </w:r>
      <w:r w:rsidR="003426CB">
        <w:t>the table to section S15—5</w:t>
      </w:r>
      <w:r w:rsidRPr="00B0059A">
        <w:t>.</w:t>
      </w:r>
    </w:p>
    <w:p w14:paraId="327BCAB2" w14:textId="77777777" w:rsidR="00B0059A" w:rsidRPr="00B0059A" w:rsidRDefault="00B0059A" w:rsidP="00B0059A"/>
    <w:p w14:paraId="0FC27BEF" w14:textId="52066E69" w:rsidR="00B0059A" w:rsidRPr="00B0059A" w:rsidRDefault="00B0059A" w:rsidP="00B0059A">
      <w:r w:rsidRPr="00B0059A">
        <w:rPr>
          <w:lang w:bidi="ar-SA"/>
        </w:rPr>
        <w:t>A dietary exposure assessment was not conducted because of the lack of systemic toxicity resulting from oral exposure to propionates.</w:t>
      </w:r>
      <w:r w:rsidRPr="00B0059A">
        <w:t xml:space="preserve">  </w:t>
      </w:r>
    </w:p>
    <w:p w14:paraId="0343B99F" w14:textId="63AE4D53" w:rsidR="002C1A3B" w:rsidRPr="00932F14" w:rsidRDefault="002C1A3B" w:rsidP="002C1A3B">
      <w:pPr>
        <w:pStyle w:val="Heading2"/>
      </w:pPr>
      <w:bookmarkStart w:id="62" w:name="_Toc460941268"/>
      <w:r>
        <w:t>2.3</w:t>
      </w:r>
      <w:r>
        <w:tab/>
        <w:t>Risk management</w:t>
      </w:r>
      <w:bookmarkEnd w:id="59"/>
      <w:bookmarkEnd w:id="60"/>
      <w:bookmarkEnd w:id="62"/>
    </w:p>
    <w:p w14:paraId="7189F0B7" w14:textId="72E0270B" w:rsidR="00B0059A" w:rsidRPr="00B0059A" w:rsidRDefault="00B0059A" w:rsidP="00B0059A">
      <w:pPr>
        <w:keepNext/>
        <w:spacing w:before="240" w:after="240"/>
        <w:ind w:left="851" w:hanging="851"/>
        <w:outlineLvl w:val="2"/>
        <w:rPr>
          <w:b/>
          <w:bCs/>
          <w:color w:val="000000" w:themeColor="text1"/>
          <w:lang w:eastAsia="en-AU" w:bidi="ar-SA"/>
        </w:rPr>
      </w:pPr>
      <w:bookmarkStart w:id="63" w:name="_Toc408583004"/>
      <w:bookmarkStart w:id="64" w:name="_Toc427676501"/>
      <w:bookmarkStart w:id="65" w:name="_Toc454787477"/>
      <w:bookmarkStart w:id="66" w:name="_Toc309291814"/>
      <w:bookmarkStart w:id="67" w:name="_Toc370225389"/>
      <w:bookmarkStart w:id="68" w:name="_Toc286391012"/>
      <w:bookmarkEnd w:id="61"/>
      <w:r w:rsidRPr="00B0059A">
        <w:rPr>
          <w:b/>
          <w:bCs/>
          <w:color w:val="000000" w:themeColor="text1"/>
          <w:lang w:eastAsia="en-AU" w:bidi="ar-SA"/>
        </w:rPr>
        <w:t>2.</w:t>
      </w:r>
      <w:r w:rsidR="002A088B">
        <w:rPr>
          <w:b/>
          <w:bCs/>
          <w:color w:val="000000" w:themeColor="text1"/>
          <w:lang w:eastAsia="en-AU" w:bidi="ar-SA"/>
        </w:rPr>
        <w:t>3</w:t>
      </w:r>
      <w:r w:rsidRPr="00B0059A">
        <w:rPr>
          <w:b/>
          <w:bCs/>
          <w:color w:val="000000" w:themeColor="text1"/>
          <w:lang w:eastAsia="en-AU" w:bidi="ar-SA"/>
        </w:rPr>
        <w:t>.1</w:t>
      </w:r>
      <w:r w:rsidRPr="00B0059A">
        <w:rPr>
          <w:b/>
          <w:bCs/>
          <w:color w:val="000000" w:themeColor="text1"/>
          <w:lang w:eastAsia="en-AU" w:bidi="ar-SA"/>
        </w:rPr>
        <w:tab/>
        <w:t>Levels of addition</w:t>
      </w:r>
      <w:bookmarkEnd w:id="63"/>
      <w:bookmarkEnd w:id="64"/>
      <w:bookmarkEnd w:id="65"/>
      <w:r w:rsidRPr="00B0059A">
        <w:rPr>
          <w:b/>
          <w:bCs/>
          <w:color w:val="000000" w:themeColor="text1"/>
          <w:lang w:eastAsia="en-AU" w:bidi="ar-SA"/>
        </w:rPr>
        <w:t xml:space="preserve"> </w:t>
      </w:r>
    </w:p>
    <w:p w14:paraId="53E49D6E" w14:textId="6BC11E74" w:rsidR="00B0059A" w:rsidRPr="00B0059A" w:rsidRDefault="00B0059A" w:rsidP="00B0059A">
      <w:r w:rsidRPr="00B0059A">
        <w:t xml:space="preserve">This </w:t>
      </w:r>
      <w:r w:rsidR="0077630E">
        <w:t>A</w:t>
      </w:r>
      <w:r w:rsidRPr="00B0059A">
        <w:t xml:space="preserve">pplication </w:t>
      </w:r>
      <w:r>
        <w:t xml:space="preserve">sought </w:t>
      </w:r>
      <w:r w:rsidRPr="00B0059A">
        <w:t xml:space="preserve">an extension to the existing use of propionates in food in Australia and New Zealand. In the absence of any public health or safety issues associated with this extended use identified by the risk assessment conducted by FSANZ, FSANZ </w:t>
      </w:r>
      <w:r>
        <w:t xml:space="preserve">recommends </w:t>
      </w:r>
      <w:r w:rsidRPr="00B0059A">
        <w:t xml:space="preserve"> permit</w:t>
      </w:r>
      <w:r>
        <w:t>ting</w:t>
      </w:r>
      <w:r w:rsidRPr="00B0059A">
        <w:t xml:space="preserve"> the use of propionates (propionic acid (INS 280), sodium propionate (INS 281), potassium propionate (INS 282) and calcium propionate (INS 283) in processed meat, poultry and game products under conditions of GMP, as requested.</w:t>
      </w:r>
    </w:p>
    <w:p w14:paraId="75452B8D" w14:textId="73CBD592" w:rsidR="007470BF" w:rsidRDefault="007470BF" w:rsidP="00B0059A"/>
    <w:p w14:paraId="18D66420" w14:textId="2B6BD396" w:rsidR="007470BF" w:rsidRDefault="007470BF" w:rsidP="00B0059A">
      <w:r>
        <w:t>Specifically the permissions for propionates are to the following food categories in the table to section S15—5 as noted in the draft variation in Attachment A:</w:t>
      </w:r>
    </w:p>
    <w:p w14:paraId="13B7E8EA" w14:textId="77777777" w:rsidR="007470BF" w:rsidRDefault="007470BF" w:rsidP="00B0059A"/>
    <w:p w14:paraId="55F6D531" w14:textId="70C0F10D" w:rsidR="007470BF" w:rsidRDefault="007470BF" w:rsidP="000A72E1">
      <w:pPr>
        <w:pStyle w:val="FSBullet1"/>
      </w:pPr>
      <w:r>
        <w:t>8.2</w:t>
      </w:r>
      <w:r>
        <w:tab/>
        <w:t>Processed meat, poultry and game products in whole cuts or pieces;</w:t>
      </w:r>
    </w:p>
    <w:p w14:paraId="62390296" w14:textId="34EC773C" w:rsidR="007470BF" w:rsidRPr="00B0059A" w:rsidRDefault="007470BF" w:rsidP="000A72E1">
      <w:pPr>
        <w:pStyle w:val="FSBullet1"/>
      </w:pPr>
      <w:r>
        <w:t>8.3</w:t>
      </w:r>
      <w:r>
        <w:tab/>
        <w:t xml:space="preserve">Processed </w:t>
      </w:r>
      <w:proofErr w:type="spellStart"/>
      <w:r>
        <w:t>comminuted</w:t>
      </w:r>
      <w:proofErr w:type="spellEnd"/>
      <w:r>
        <w:t xml:space="preserve"> meat, poultry and game products.</w:t>
      </w:r>
    </w:p>
    <w:p w14:paraId="04787608" w14:textId="77777777" w:rsidR="00B0059A" w:rsidRPr="00B0059A" w:rsidRDefault="00B0059A" w:rsidP="00B0059A"/>
    <w:p w14:paraId="1C54C80E" w14:textId="77777777" w:rsidR="00B0059A" w:rsidRPr="00B0059A" w:rsidRDefault="00B0059A" w:rsidP="00103C7B">
      <w:pPr>
        <w:ind w:right="-286"/>
      </w:pPr>
      <w:r w:rsidRPr="00B0059A">
        <w:t xml:space="preserve">The use of propionates in processed meats, poultry and game at proposed levels to satisfy GMP is not expected to affect the taste of the products. Therefore their use in processed meat, poultry and game products is not expected to result in any change in consumption pattern.   </w:t>
      </w:r>
    </w:p>
    <w:p w14:paraId="7B8B8EEF" w14:textId="23615474" w:rsidR="00B0059A" w:rsidRPr="00B0059A" w:rsidRDefault="00B0059A" w:rsidP="00B0059A">
      <w:pPr>
        <w:keepNext/>
        <w:spacing w:before="240" w:after="240"/>
        <w:ind w:left="851" w:hanging="851"/>
        <w:outlineLvl w:val="2"/>
        <w:rPr>
          <w:b/>
          <w:bCs/>
          <w:color w:val="000000" w:themeColor="text1"/>
          <w:lang w:eastAsia="en-AU" w:bidi="ar-SA"/>
        </w:rPr>
      </w:pPr>
      <w:bookmarkStart w:id="69" w:name="_Toc427676503"/>
      <w:bookmarkStart w:id="70" w:name="_Toc454787478"/>
      <w:r w:rsidRPr="00B0059A">
        <w:rPr>
          <w:b/>
          <w:bCs/>
          <w:color w:val="000000" w:themeColor="text1"/>
          <w:lang w:eastAsia="en-AU" w:bidi="ar-SA"/>
        </w:rPr>
        <w:t>2.</w:t>
      </w:r>
      <w:r w:rsidR="002A088B">
        <w:rPr>
          <w:b/>
          <w:bCs/>
          <w:color w:val="000000" w:themeColor="text1"/>
          <w:lang w:eastAsia="en-AU" w:bidi="ar-SA"/>
        </w:rPr>
        <w:t>3</w:t>
      </w:r>
      <w:r w:rsidRPr="00B0059A">
        <w:rPr>
          <w:b/>
          <w:bCs/>
          <w:color w:val="000000" w:themeColor="text1"/>
          <w:lang w:eastAsia="en-AU" w:bidi="ar-SA"/>
        </w:rPr>
        <w:t>.2</w:t>
      </w:r>
      <w:r w:rsidRPr="00B0059A">
        <w:rPr>
          <w:b/>
          <w:bCs/>
          <w:color w:val="000000" w:themeColor="text1"/>
          <w:lang w:eastAsia="en-AU" w:bidi="ar-SA"/>
        </w:rPr>
        <w:tab/>
        <w:t>Specification</w:t>
      </w:r>
      <w:bookmarkEnd w:id="69"/>
      <w:bookmarkEnd w:id="70"/>
      <w:r w:rsidRPr="00B0059A">
        <w:rPr>
          <w:b/>
          <w:bCs/>
          <w:color w:val="000000" w:themeColor="text1"/>
          <w:lang w:eastAsia="en-AU" w:bidi="ar-SA"/>
        </w:rPr>
        <w:t xml:space="preserve"> </w:t>
      </w:r>
    </w:p>
    <w:p w14:paraId="33F75C76" w14:textId="422AFCFE" w:rsidR="00103C7B" w:rsidRDefault="00B0059A" w:rsidP="00B0059A">
      <w:pPr>
        <w:rPr>
          <w:rFonts w:cs="Arial"/>
          <w:szCs w:val="20"/>
          <w:lang w:bidi="ar-SA"/>
        </w:rPr>
      </w:pPr>
      <w:r w:rsidRPr="00B0059A">
        <w:rPr>
          <w:rFonts w:cs="Arial"/>
          <w:szCs w:val="20"/>
          <w:lang w:bidi="ar-SA"/>
        </w:rPr>
        <w:t>As this Application is an extension of use</w:t>
      </w:r>
      <w:r w:rsidR="0077630E">
        <w:rPr>
          <w:rFonts w:cs="Arial"/>
          <w:szCs w:val="20"/>
          <w:lang w:bidi="ar-SA"/>
        </w:rPr>
        <w:t xml:space="preserve"> of existing food additives</w:t>
      </w:r>
      <w:r w:rsidRPr="00B0059A">
        <w:rPr>
          <w:rFonts w:cs="Arial"/>
          <w:szCs w:val="20"/>
          <w:lang w:bidi="ar-SA"/>
        </w:rPr>
        <w:t xml:space="preserve"> </w:t>
      </w:r>
      <w:r w:rsidR="0077630E">
        <w:rPr>
          <w:rFonts w:cs="Arial"/>
          <w:szCs w:val="20"/>
          <w:lang w:bidi="ar-SA"/>
        </w:rPr>
        <w:t>which</w:t>
      </w:r>
      <w:r w:rsidRPr="00B0059A">
        <w:rPr>
          <w:rFonts w:cs="Arial"/>
          <w:szCs w:val="20"/>
          <w:lang w:bidi="ar-SA"/>
        </w:rPr>
        <w:t xml:space="preserve"> already </w:t>
      </w:r>
      <w:r w:rsidR="0077630E">
        <w:rPr>
          <w:rFonts w:cs="Arial"/>
          <w:szCs w:val="20"/>
          <w:lang w:bidi="ar-SA"/>
        </w:rPr>
        <w:t xml:space="preserve">have primary sources of specifications in section S3—2 (see </w:t>
      </w:r>
      <w:r w:rsidR="00F20033">
        <w:rPr>
          <w:rFonts w:cs="Arial"/>
          <w:szCs w:val="20"/>
          <w:lang w:bidi="ar-SA"/>
        </w:rPr>
        <w:t xml:space="preserve">SD1, </w:t>
      </w:r>
      <w:r w:rsidR="0077630E">
        <w:rPr>
          <w:rFonts w:cs="Arial"/>
          <w:szCs w:val="20"/>
          <w:lang w:bidi="ar-SA"/>
        </w:rPr>
        <w:t>section 2.5)</w:t>
      </w:r>
      <w:r w:rsidRPr="00B0059A">
        <w:rPr>
          <w:rFonts w:cs="Arial"/>
          <w:szCs w:val="20"/>
          <w:lang w:bidi="ar-SA"/>
        </w:rPr>
        <w:t>, no amendment</w:t>
      </w:r>
      <w:r w:rsidR="00F20033">
        <w:rPr>
          <w:rFonts w:cs="Arial"/>
          <w:szCs w:val="20"/>
          <w:lang w:bidi="ar-SA"/>
        </w:rPr>
        <w:t>s</w:t>
      </w:r>
      <w:r w:rsidRPr="00B0059A">
        <w:rPr>
          <w:rFonts w:cs="Arial"/>
          <w:szCs w:val="20"/>
          <w:lang w:bidi="ar-SA"/>
        </w:rPr>
        <w:t xml:space="preserve"> to the specification</w:t>
      </w:r>
      <w:r w:rsidR="00F20033">
        <w:rPr>
          <w:rFonts w:cs="Arial"/>
          <w:szCs w:val="20"/>
          <w:lang w:bidi="ar-SA"/>
        </w:rPr>
        <w:t>s</w:t>
      </w:r>
      <w:r w:rsidRPr="00B0059A">
        <w:rPr>
          <w:rFonts w:cs="Arial"/>
          <w:szCs w:val="20"/>
          <w:lang w:bidi="ar-SA"/>
        </w:rPr>
        <w:t xml:space="preserve"> </w:t>
      </w:r>
      <w:r w:rsidR="00F20033">
        <w:rPr>
          <w:rFonts w:cs="Arial"/>
          <w:szCs w:val="20"/>
          <w:lang w:bidi="ar-SA"/>
        </w:rPr>
        <w:t>are</w:t>
      </w:r>
      <w:r w:rsidRPr="00B0059A">
        <w:rPr>
          <w:rFonts w:cs="Arial"/>
          <w:szCs w:val="20"/>
          <w:lang w:bidi="ar-SA"/>
        </w:rPr>
        <w:t xml:space="preserve"> necessary. </w:t>
      </w:r>
      <w:r w:rsidR="00103C7B">
        <w:rPr>
          <w:rFonts w:cs="Arial"/>
          <w:szCs w:val="20"/>
          <w:lang w:bidi="ar-SA"/>
        </w:rPr>
        <w:br w:type="page"/>
      </w:r>
    </w:p>
    <w:p w14:paraId="33A2FB73" w14:textId="0D5DB940" w:rsidR="00B0059A" w:rsidRPr="00B0059A" w:rsidRDefault="00B0059A" w:rsidP="00B0059A">
      <w:pPr>
        <w:keepNext/>
        <w:spacing w:before="240" w:after="240"/>
        <w:ind w:left="851" w:hanging="851"/>
        <w:outlineLvl w:val="2"/>
        <w:rPr>
          <w:b/>
          <w:bCs/>
          <w:color w:val="000000" w:themeColor="text1"/>
          <w:lang w:eastAsia="en-AU" w:bidi="ar-SA"/>
        </w:rPr>
      </w:pPr>
      <w:bookmarkStart w:id="71" w:name="_Toc427676504"/>
      <w:bookmarkStart w:id="72" w:name="_Toc454787479"/>
      <w:r w:rsidRPr="00B0059A">
        <w:rPr>
          <w:b/>
          <w:bCs/>
          <w:color w:val="000000" w:themeColor="text1"/>
          <w:lang w:eastAsia="en-AU" w:bidi="ar-SA"/>
        </w:rPr>
        <w:lastRenderedPageBreak/>
        <w:t>2.</w:t>
      </w:r>
      <w:r w:rsidR="002A088B">
        <w:rPr>
          <w:b/>
          <w:bCs/>
          <w:color w:val="000000" w:themeColor="text1"/>
          <w:lang w:eastAsia="en-AU" w:bidi="ar-SA"/>
        </w:rPr>
        <w:t>3</w:t>
      </w:r>
      <w:r w:rsidRPr="00B0059A">
        <w:rPr>
          <w:b/>
          <w:bCs/>
          <w:color w:val="000000" w:themeColor="text1"/>
          <w:lang w:eastAsia="en-AU" w:bidi="ar-SA"/>
        </w:rPr>
        <w:t>.3</w:t>
      </w:r>
      <w:r w:rsidRPr="00B0059A">
        <w:rPr>
          <w:b/>
          <w:bCs/>
          <w:color w:val="000000" w:themeColor="text1"/>
          <w:lang w:eastAsia="en-AU" w:bidi="ar-SA"/>
        </w:rPr>
        <w:tab/>
        <w:t>Analytical methods</w:t>
      </w:r>
      <w:bookmarkEnd w:id="71"/>
      <w:bookmarkEnd w:id="72"/>
      <w:r w:rsidRPr="00B0059A">
        <w:rPr>
          <w:b/>
          <w:bCs/>
          <w:color w:val="000000" w:themeColor="text1"/>
          <w:lang w:eastAsia="en-AU" w:bidi="ar-SA"/>
        </w:rPr>
        <w:t xml:space="preserve"> </w:t>
      </w:r>
    </w:p>
    <w:p w14:paraId="0E9549CA" w14:textId="77777777" w:rsidR="00B0059A" w:rsidRPr="00B0059A" w:rsidRDefault="00B0059A" w:rsidP="00B0059A">
      <w:r w:rsidRPr="00B0059A">
        <w:t xml:space="preserve">Analytical methods for identifying and quantifying propionates in foods and beverages, including processed meat, poultry and game products, already exist (see SD1, section 2.3). </w:t>
      </w:r>
    </w:p>
    <w:p w14:paraId="103C8A26" w14:textId="18608707" w:rsidR="00B0059A" w:rsidRPr="00B0059A" w:rsidRDefault="00B0059A" w:rsidP="00B0059A">
      <w:pPr>
        <w:keepNext/>
        <w:spacing w:before="240" w:after="240"/>
        <w:ind w:left="851" w:hanging="851"/>
        <w:outlineLvl w:val="2"/>
        <w:rPr>
          <w:b/>
          <w:bCs/>
          <w:color w:val="000000" w:themeColor="text1"/>
          <w:lang w:eastAsia="en-AU" w:bidi="ar-SA"/>
        </w:rPr>
      </w:pPr>
      <w:bookmarkStart w:id="73" w:name="_Toc426969207"/>
      <w:bookmarkStart w:id="74" w:name="_Toc427676505"/>
      <w:bookmarkStart w:id="75" w:name="_Toc454787480"/>
      <w:r w:rsidRPr="00B0059A">
        <w:rPr>
          <w:b/>
          <w:bCs/>
          <w:color w:val="000000" w:themeColor="text1"/>
          <w:lang w:eastAsia="en-AU" w:bidi="ar-SA"/>
        </w:rPr>
        <w:t>2.</w:t>
      </w:r>
      <w:r w:rsidR="002A088B">
        <w:rPr>
          <w:b/>
          <w:bCs/>
          <w:color w:val="000000" w:themeColor="text1"/>
          <w:lang w:eastAsia="en-AU" w:bidi="ar-SA"/>
        </w:rPr>
        <w:t>3</w:t>
      </w:r>
      <w:r w:rsidRPr="00B0059A">
        <w:rPr>
          <w:b/>
          <w:bCs/>
          <w:color w:val="000000" w:themeColor="text1"/>
          <w:lang w:eastAsia="en-AU" w:bidi="ar-SA"/>
        </w:rPr>
        <w:t>.4</w:t>
      </w:r>
      <w:r w:rsidRPr="00B0059A">
        <w:rPr>
          <w:b/>
          <w:bCs/>
          <w:color w:val="000000" w:themeColor="text1"/>
          <w:lang w:eastAsia="en-AU" w:bidi="ar-SA"/>
        </w:rPr>
        <w:tab/>
        <w:t>Labelling</w:t>
      </w:r>
      <w:bookmarkEnd w:id="73"/>
      <w:bookmarkEnd w:id="74"/>
      <w:bookmarkEnd w:id="75"/>
    </w:p>
    <w:p w14:paraId="7D8C9D61" w14:textId="3536A25E" w:rsidR="00B0059A" w:rsidRPr="00B0059A" w:rsidRDefault="00B0059A" w:rsidP="00B0059A">
      <w:r w:rsidRPr="00B0059A">
        <w:t xml:space="preserve">Propionates when used as food additives must be declared in the list of ingredients on the label of most packaged foods in accordance with Standard 1.2.4 </w:t>
      </w:r>
      <w:r w:rsidR="00F20033">
        <w:t>– In</w:t>
      </w:r>
      <w:r w:rsidRPr="00B0059A">
        <w:t xml:space="preserve">formation </w:t>
      </w:r>
      <w:r w:rsidR="00514E0A">
        <w:t>r</w:t>
      </w:r>
      <w:r w:rsidRPr="00B0059A">
        <w:t xml:space="preserve">equirements – </w:t>
      </w:r>
      <w:r w:rsidR="00514E0A">
        <w:t>s</w:t>
      </w:r>
      <w:r w:rsidRPr="00B0059A">
        <w:t xml:space="preserve">tatement of </w:t>
      </w:r>
      <w:r w:rsidR="00514E0A">
        <w:t>i</w:t>
      </w:r>
      <w:r w:rsidRPr="00B0059A">
        <w:t xml:space="preserve">ngredients. </w:t>
      </w:r>
    </w:p>
    <w:p w14:paraId="167EA0AE" w14:textId="77777777" w:rsidR="00B0059A" w:rsidRPr="00B0059A" w:rsidRDefault="00B0059A" w:rsidP="00B0059A"/>
    <w:p w14:paraId="12E6F23B" w14:textId="0BFFC9FE" w:rsidR="00B0059A" w:rsidRPr="00B0059A" w:rsidRDefault="00B0059A" w:rsidP="00B0059A">
      <w:r w:rsidRPr="00B0059A">
        <w:t>Subsection 1.2.4—7(1) provides that a substance used as a food additive must be listed in a statement of ingredients. This can occur in two ways:</w:t>
      </w:r>
    </w:p>
    <w:p w14:paraId="40E76BB2" w14:textId="77777777" w:rsidR="00B0059A" w:rsidRPr="00B0059A" w:rsidRDefault="00B0059A" w:rsidP="00B0059A"/>
    <w:p w14:paraId="091B503A" w14:textId="46BC2A1E" w:rsidR="00B0059A" w:rsidRPr="00B0059A" w:rsidRDefault="00B0059A" w:rsidP="0023073E">
      <w:pPr>
        <w:pStyle w:val="FSBullet1"/>
      </w:pPr>
      <w:r w:rsidRPr="00B0059A">
        <w:t>if the substance can be classified into a class of additives listed in Schedule 7</w:t>
      </w:r>
      <w:r w:rsidR="00514E0A">
        <w:t>:</w:t>
      </w:r>
    </w:p>
    <w:p w14:paraId="77E17C43" w14:textId="77777777" w:rsidR="00B0059A" w:rsidRPr="00B0059A" w:rsidRDefault="00B0059A" w:rsidP="00B0059A"/>
    <w:p w14:paraId="20690337" w14:textId="77777777" w:rsidR="00B0059A" w:rsidRPr="00B0059A" w:rsidRDefault="00B0059A" w:rsidP="0023073E">
      <w:pPr>
        <w:pStyle w:val="FSBullet2"/>
      </w:pPr>
      <w:r w:rsidRPr="00B0059A">
        <w:t xml:space="preserve">the class name to be declared (e.g. ‘preservative’) as indicated in Schedule 7; and </w:t>
      </w:r>
    </w:p>
    <w:p w14:paraId="77AD059B" w14:textId="3BA8A228" w:rsidR="00B0059A" w:rsidRPr="00B0059A" w:rsidRDefault="00B0059A" w:rsidP="0023073E">
      <w:pPr>
        <w:pStyle w:val="FSBullet2"/>
      </w:pPr>
      <w:r w:rsidRPr="00B0059A">
        <w:t xml:space="preserve">followed in brackets by the name (propionic acid, </w:t>
      </w:r>
      <w:r w:rsidR="00F20033" w:rsidRPr="00B0059A">
        <w:t>sodium propionate</w:t>
      </w:r>
      <w:r w:rsidR="00F20033">
        <w:t>,</w:t>
      </w:r>
      <w:r w:rsidR="00F20033" w:rsidRPr="00B0059A">
        <w:t xml:space="preserve"> </w:t>
      </w:r>
      <w:r w:rsidRPr="00B0059A">
        <w:t>calcium propionate or potassium propionate) or code number (280, 281, 282 or 283</w:t>
      </w:r>
      <w:r w:rsidR="00F20033">
        <w:t xml:space="preserve"> respectively</w:t>
      </w:r>
      <w:r w:rsidRPr="00B0059A">
        <w:t>) of the substance as indicated in Schedule 8; or</w:t>
      </w:r>
    </w:p>
    <w:p w14:paraId="43BD0717" w14:textId="77777777" w:rsidR="00B0059A" w:rsidRPr="00B0059A" w:rsidRDefault="00B0059A" w:rsidP="00B0059A">
      <w:pPr>
        <w:widowControl/>
        <w:ind w:left="567" w:hanging="567"/>
      </w:pPr>
    </w:p>
    <w:p w14:paraId="45C5D9E4" w14:textId="131AC197" w:rsidR="00B0059A" w:rsidRPr="00B0059A" w:rsidRDefault="00514E0A" w:rsidP="0023073E">
      <w:pPr>
        <w:pStyle w:val="FSBullet1"/>
      </w:pPr>
      <w:r w:rsidRPr="00B0059A">
        <w:t>O</w:t>
      </w:r>
      <w:r w:rsidR="00B0059A" w:rsidRPr="00B0059A">
        <w:t>therwise</w:t>
      </w:r>
      <w:r>
        <w:t>,</w:t>
      </w:r>
      <w:r w:rsidR="002A088B">
        <w:t xml:space="preserve"> </w:t>
      </w:r>
      <w:r w:rsidR="00B0059A" w:rsidRPr="00B0059A">
        <w:t xml:space="preserve">the name of the substance (propionic acid, calcium propionate, sodium propionate or potassium propionate) as indicated in Schedule 8. </w:t>
      </w:r>
    </w:p>
    <w:p w14:paraId="5244E62E" w14:textId="77777777" w:rsidR="00B0059A" w:rsidRPr="00B0059A" w:rsidRDefault="00B0059A" w:rsidP="00B0059A">
      <w:pPr>
        <w:widowControl/>
        <w:rPr>
          <w:rFonts w:cs="Arial"/>
          <w:lang w:bidi="ar-SA"/>
        </w:rPr>
      </w:pPr>
    </w:p>
    <w:p w14:paraId="383F5132" w14:textId="77777777" w:rsidR="00B0059A" w:rsidRPr="00B0059A" w:rsidRDefault="00B0059A" w:rsidP="00B0059A">
      <w:pPr>
        <w:widowControl/>
        <w:rPr>
          <w:rFonts w:cs="Arial"/>
          <w:lang w:bidi="ar-SA"/>
        </w:rPr>
      </w:pPr>
      <w:r w:rsidRPr="00B0059A">
        <w:rPr>
          <w:rFonts w:cs="Arial"/>
          <w:lang w:bidi="ar-SA"/>
        </w:rPr>
        <w:t xml:space="preserve">These labelling provisions will apply to the use of propionates in processed meat, poultry and game products, allowing consumers to identify whether propionates have been added. </w:t>
      </w:r>
    </w:p>
    <w:p w14:paraId="701AC6E0" w14:textId="77777777" w:rsidR="00B0059A" w:rsidRPr="00B0059A" w:rsidRDefault="00B0059A" w:rsidP="00B0059A"/>
    <w:p w14:paraId="17C1B149" w14:textId="3F4B2538" w:rsidR="007D2761" w:rsidRDefault="00B0059A" w:rsidP="00B0059A">
      <w:pPr>
        <w:tabs>
          <w:tab w:val="left" w:pos="1701"/>
        </w:tabs>
        <w:spacing w:before="60" w:after="60"/>
        <w:rPr>
          <w:rFonts w:cs="Arial"/>
          <w:iCs/>
          <w:szCs w:val="22"/>
          <w:lang w:eastAsia="en-AU" w:bidi="ar-SA"/>
        </w:rPr>
      </w:pPr>
      <w:r w:rsidRPr="00B0059A">
        <w:rPr>
          <w:rFonts w:cs="Arial"/>
          <w:iCs/>
          <w:szCs w:val="22"/>
          <w:lang w:eastAsia="en-AU" w:bidi="ar-SA"/>
        </w:rPr>
        <w:t xml:space="preserve">There are some exemptions to these requirements that apply to food for sale that is not required to bear a label. These exemptions are set out in section 1.2.1—6 in Standard 1.2.1 </w:t>
      </w:r>
      <w:r w:rsidR="00F20033">
        <w:rPr>
          <w:rFonts w:cs="Arial"/>
          <w:iCs/>
          <w:szCs w:val="22"/>
          <w:lang w:eastAsia="en-AU" w:bidi="ar-SA"/>
        </w:rPr>
        <w:t>– Re</w:t>
      </w:r>
      <w:r w:rsidRPr="00B0059A">
        <w:rPr>
          <w:rFonts w:cs="Arial"/>
          <w:iCs/>
          <w:szCs w:val="22"/>
          <w:lang w:eastAsia="en-AU" w:bidi="ar-SA"/>
        </w:rPr>
        <w:t xml:space="preserve">quirements to have </w:t>
      </w:r>
      <w:r w:rsidR="00520919">
        <w:rPr>
          <w:rFonts w:cs="Arial"/>
          <w:iCs/>
          <w:szCs w:val="22"/>
          <w:lang w:eastAsia="en-AU" w:bidi="ar-SA"/>
        </w:rPr>
        <w:t>l</w:t>
      </w:r>
      <w:r w:rsidRPr="00B0059A">
        <w:rPr>
          <w:rFonts w:cs="Arial"/>
          <w:iCs/>
          <w:szCs w:val="22"/>
          <w:lang w:eastAsia="en-AU" w:bidi="ar-SA"/>
        </w:rPr>
        <w:t xml:space="preserve">abels or otherwise provide </w:t>
      </w:r>
      <w:r w:rsidR="000A72E1">
        <w:rPr>
          <w:rFonts w:cs="Arial"/>
          <w:iCs/>
          <w:szCs w:val="22"/>
          <w:lang w:eastAsia="en-AU" w:bidi="ar-SA"/>
        </w:rPr>
        <w:t>i</w:t>
      </w:r>
      <w:r w:rsidRPr="00B0059A">
        <w:rPr>
          <w:rFonts w:cs="Arial"/>
          <w:iCs/>
          <w:szCs w:val="22"/>
          <w:lang w:eastAsia="en-AU" w:bidi="ar-SA"/>
        </w:rPr>
        <w:t>nformation</w:t>
      </w:r>
      <w:r w:rsidR="00F20033">
        <w:rPr>
          <w:rFonts w:cs="Arial"/>
          <w:iCs/>
          <w:szCs w:val="22"/>
          <w:lang w:eastAsia="en-AU" w:bidi="ar-SA"/>
        </w:rPr>
        <w:t>. The exemptions</w:t>
      </w:r>
      <w:r w:rsidRPr="00B0059A">
        <w:rPr>
          <w:rFonts w:cs="Arial"/>
          <w:iCs/>
          <w:szCs w:val="22"/>
          <w:lang w:eastAsia="en-AU" w:bidi="ar-SA"/>
        </w:rPr>
        <w:t xml:space="preserve"> include a food that is made and packaged on the premises from which it is sold, or is packaged in the presence of the purchaser. Food sold in these situations does not have to bear a label and therefore any processed meat, poultry and game sold in this manner would not have to declare the presence of added propionates under Standard 1.2.4.</w:t>
      </w:r>
    </w:p>
    <w:p w14:paraId="0C63636C" w14:textId="659F4CAD" w:rsidR="007D2761" w:rsidRPr="007D2761" w:rsidRDefault="007D2761" w:rsidP="007D2761">
      <w:pPr>
        <w:keepNext/>
        <w:spacing w:before="240" w:after="240"/>
        <w:ind w:left="851" w:hanging="851"/>
        <w:outlineLvl w:val="2"/>
        <w:rPr>
          <w:b/>
          <w:bCs/>
          <w:color w:val="000000" w:themeColor="text1"/>
          <w:lang w:eastAsia="en-AU" w:bidi="ar-SA"/>
        </w:rPr>
      </w:pPr>
      <w:bookmarkStart w:id="76" w:name="_Toc436916847"/>
      <w:r w:rsidRPr="007D2761">
        <w:rPr>
          <w:b/>
          <w:bCs/>
          <w:color w:val="000000" w:themeColor="text1"/>
          <w:lang w:eastAsia="en-AU" w:bidi="ar-SA"/>
        </w:rPr>
        <w:t>2.3.4</w:t>
      </w:r>
      <w:r w:rsidRPr="007D2761">
        <w:rPr>
          <w:b/>
          <w:bCs/>
          <w:color w:val="000000" w:themeColor="text1"/>
          <w:lang w:eastAsia="en-AU" w:bidi="ar-SA"/>
        </w:rPr>
        <w:tab/>
        <w:t>Impact analysis</w:t>
      </w:r>
      <w:bookmarkEnd w:id="76"/>
    </w:p>
    <w:p w14:paraId="5BE9DB5B" w14:textId="6B174AE4" w:rsidR="007D2761" w:rsidRPr="00AF7726" w:rsidRDefault="007D2761" w:rsidP="007D2761">
      <w:pPr>
        <w:rPr>
          <w:bCs/>
        </w:rPr>
      </w:pPr>
      <w:r w:rsidRPr="00AF7726">
        <w:rPr>
          <w:bCs/>
        </w:rPr>
        <w:t xml:space="preserve">The Office of Best Practice Regulation (OBPR), in a letter dated 24 November 2010 (reference 12065), </w:t>
      </w:r>
      <w:r w:rsidRPr="00AF7726">
        <w:rPr>
          <w:rFonts w:cs="Arial"/>
        </w:rPr>
        <w:t>granted a standing exemption from the need for OBPR to assess if a Regulatory Impact Statement is required for the approval of</w:t>
      </w:r>
      <w:r w:rsidRPr="00AF7726">
        <w:rPr>
          <w:bCs/>
        </w:rPr>
        <w:t xml:space="preserve"> applications relating to food additives. </w:t>
      </w:r>
    </w:p>
    <w:p w14:paraId="359129F2" w14:textId="77777777" w:rsidR="007D2761" w:rsidRPr="00AF7726" w:rsidRDefault="007D2761" w:rsidP="007D2761">
      <w:pPr>
        <w:rPr>
          <w:bCs/>
        </w:rPr>
      </w:pPr>
    </w:p>
    <w:p w14:paraId="1D02F45F" w14:textId="77777777" w:rsidR="007D2761" w:rsidRPr="00AF7726" w:rsidRDefault="007D2761" w:rsidP="007D2761">
      <w:pPr>
        <w:rPr>
          <w:rFonts w:cs="Arial"/>
        </w:rPr>
      </w:pPr>
      <w:r w:rsidRPr="00AF7726">
        <w:rPr>
          <w:rFonts w:cs="Arial"/>
        </w:rPr>
        <w:t xml:space="preserve">This standing exemption was provided as such changes are considered as minor, machinery and deregulatory in nature, since the permission is voluntary and not mandatory. The exemption relates to the introduction of a food additive to the food supply that has been determined to be safe. </w:t>
      </w:r>
    </w:p>
    <w:p w14:paraId="1565909E" w14:textId="77777777" w:rsidR="007D2761" w:rsidRPr="00AF7726" w:rsidRDefault="007D2761" w:rsidP="007D2761">
      <w:pPr>
        <w:rPr>
          <w:rFonts w:cs="Arial"/>
          <w:szCs w:val="22"/>
          <w:lang w:val="en-AU"/>
        </w:rPr>
      </w:pPr>
    </w:p>
    <w:p w14:paraId="7469C866" w14:textId="77777777" w:rsidR="007D2761" w:rsidRPr="00AF7726" w:rsidRDefault="007D2761" w:rsidP="007D2761">
      <w:pPr>
        <w:rPr>
          <w:bCs/>
        </w:rPr>
      </w:pPr>
      <w:r w:rsidRPr="00AF7726">
        <w:t xml:space="preserve">Notwithstanding the above exemption, FSANZ conducted a limited cost benefit analysis for this Application. That analysis found </w:t>
      </w:r>
      <w:r w:rsidRPr="00AF7726">
        <w:rPr>
          <w:bCs/>
        </w:rPr>
        <w:t xml:space="preserve">that extending the use of propionates as a food additive to processed meat products </w:t>
      </w:r>
      <w:r w:rsidRPr="00AF7726">
        <w:rPr>
          <w:rFonts w:cs="Arial"/>
        </w:rPr>
        <w:t xml:space="preserve">had benefits to the various sectors of the food industry. No costs to different stakeholders were identified that overrode these benefits. Nor was any benefit in rejecting the Application identified. As explained above, </w:t>
      </w:r>
      <w:r w:rsidRPr="00AF7726">
        <w:t>the extension of use of propionates as a food additive for processed meat products raised no public health and safety concerns.</w:t>
      </w:r>
    </w:p>
    <w:p w14:paraId="1939EA71" w14:textId="6FBE1BDA" w:rsidR="00103C7B" w:rsidRDefault="00103C7B" w:rsidP="007D2761">
      <w:pPr>
        <w:rPr>
          <w:bCs/>
        </w:rPr>
      </w:pPr>
      <w:r>
        <w:rPr>
          <w:bCs/>
        </w:rPr>
        <w:br w:type="page"/>
      </w:r>
    </w:p>
    <w:p w14:paraId="23446410" w14:textId="503E98A4" w:rsidR="007D2761" w:rsidRPr="00B0059A" w:rsidRDefault="007D2761" w:rsidP="000A72E1">
      <w:pPr>
        <w:rPr>
          <w:rFonts w:cs="Arial"/>
          <w:iCs/>
          <w:szCs w:val="22"/>
          <w:lang w:eastAsia="en-AU" w:bidi="ar-SA"/>
        </w:rPr>
      </w:pPr>
      <w:r w:rsidRPr="00AF7726">
        <w:lastRenderedPageBreak/>
        <w:t>FSANZ concluded that the direct and indirect benefits that would arise from a food regulatory measure developed or varied as a result of the Application outweighed the costs to the community, Government or industry that would arise from the development or variation of the food regulatory measure. Therefore, the preferred option was to prepare a draft variation to the Code to extend the use of propionates as food additive</w:t>
      </w:r>
      <w:r w:rsidR="00AD0856">
        <w:t>s</w:t>
      </w:r>
      <w:r w:rsidRPr="00AF7726">
        <w:t xml:space="preserve"> to processed meat products.</w:t>
      </w:r>
    </w:p>
    <w:p w14:paraId="63EA4F00" w14:textId="50215B7F" w:rsidR="00B0059A" w:rsidRPr="001C72F4" w:rsidRDefault="00B0059A" w:rsidP="001C72F4">
      <w:pPr>
        <w:keepNext/>
        <w:spacing w:before="240" w:after="240"/>
        <w:ind w:left="851" w:hanging="851"/>
        <w:outlineLvl w:val="2"/>
        <w:rPr>
          <w:b/>
          <w:bCs/>
          <w:color w:val="000000" w:themeColor="text1"/>
          <w:lang w:eastAsia="en-AU" w:bidi="ar-SA"/>
        </w:rPr>
      </w:pPr>
      <w:bookmarkStart w:id="77" w:name="_Toc454787481"/>
      <w:r w:rsidRPr="001C72F4">
        <w:rPr>
          <w:b/>
          <w:bCs/>
          <w:color w:val="000000" w:themeColor="text1"/>
          <w:lang w:eastAsia="en-AU" w:bidi="ar-SA"/>
        </w:rPr>
        <w:t>2.</w:t>
      </w:r>
      <w:r w:rsidR="001C72F4">
        <w:rPr>
          <w:b/>
          <w:bCs/>
          <w:color w:val="000000" w:themeColor="text1"/>
          <w:lang w:eastAsia="en-AU" w:bidi="ar-SA"/>
        </w:rPr>
        <w:t>3.5</w:t>
      </w:r>
      <w:r w:rsidRPr="001C72F4">
        <w:rPr>
          <w:b/>
          <w:bCs/>
          <w:color w:val="000000" w:themeColor="text1"/>
          <w:lang w:eastAsia="en-AU" w:bidi="ar-SA"/>
        </w:rPr>
        <w:tab/>
        <w:t>Risk management conclusion</w:t>
      </w:r>
      <w:bookmarkEnd w:id="77"/>
      <w:r w:rsidRPr="001C72F4">
        <w:rPr>
          <w:b/>
          <w:bCs/>
          <w:color w:val="000000" w:themeColor="text1"/>
          <w:lang w:eastAsia="en-AU" w:bidi="ar-SA"/>
        </w:rPr>
        <w:t xml:space="preserve"> </w:t>
      </w:r>
    </w:p>
    <w:p w14:paraId="771E64AE" w14:textId="2A0FE98D" w:rsidR="002A088B" w:rsidRDefault="00B0059A" w:rsidP="00B0059A">
      <w:pPr>
        <w:rPr>
          <w:rFonts w:eastAsia="Calibri"/>
        </w:rPr>
      </w:pPr>
      <w:r w:rsidRPr="00B0059A">
        <w:rPr>
          <w:rFonts w:eastAsia="Calibri"/>
        </w:rPr>
        <w:t xml:space="preserve">Based on the risk assessment conclusions, other than amending the Code to permit their extended use there are no additional risk management measures needed for the extension of use of propionates in processed meat, poultry and game under conditions of GMP. </w:t>
      </w:r>
    </w:p>
    <w:p w14:paraId="16AFF507" w14:textId="5A82AB81" w:rsidR="002A088B" w:rsidRDefault="002A088B" w:rsidP="002A088B">
      <w:pPr>
        <w:pStyle w:val="Heading1"/>
      </w:pPr>
      <w:bookmarkStart w:id="78" w:name="_Toc460941269"/>
      <w:r>
        <w:t>3</w:t>
      </w:r>
      <w:r>
        <w:tab/>
      </w:r>
      <w:r w:rsidRPr="00932F14">
        <w:t>Decision</w:t>
      </w:r>
      <w:bookmarkEnd w:id="78"/>
    </w:p>
    <w:p w14:paraId="7757C86F" w14:textId="77777777" w:rsidR="002A088B" w:rsidRDefault="002A088B" w:rsidP="002A088B">
      <w:r>
        <w:t xml:space="preserve">The draft </w:t>
      </w:r>
      <w:r w:rsidRPr="003A6E80">
        <w:t xml:space="preserve">variation </w:t>
      </w:r>
      <w:r>
        <w:t xml:space="preserve">as proposed following assessment was approved </w:t>
      </w:r>
      <w:r w:rsidRPr="00CF0241">
        <w:t>without change. The</w:t>
      </w:r>
      <w:r w:rsidRPr="003A7725">
        <w:t xml:space="preserve"> </w:t>
      </w:r>
      <w:r w:rsidRPr="003A6E80">
        <w:t xml:space="preserve">variation </w:t>
      </w:r>
      <w:r w:rsidRPr="00D26814">
        <w:t>takes effect on</w:t>
      </w:r>
      <w:r>
        <w:t xml:space="preserve"> gazettal. The approved draft </w:t>
      </w:r>
      <w:r w:rsidRPr="003A6E80">
        <w:t xml:space="preserve">variation </w:t>
      </w:r>
      <w:r>
        <w:t xml:space="preserve">is at </w:t>
      </w:r>
      <w:r w:rsidRPr="007C22CB">
        <w:t xml:space="preserve">Attachment A. </w:t>
      </w:r>
    </w:p>
    <w:p w14:paraId="7DB141AE" w14:textId="77777777" w:rsidR="002A088B" w:rsidRDefault="002A088B" w:rsidP="002A088B"/>
    <w:p w14:paraId="773E7A12" w14:textId="7B9FF87D" w:rsidR="002A088B" w:rsidRDefault="002A088B" w:rsidP="002A088B">
      <w:r>
        <w:t xml:space="preserve">The related explanatory statement is at Attachment B. An </w:t>
      </w:r>
      <w:r w:rsidRPr="00D26814">
        <w:t xml:space="preserve">explanatory statement is required to accompany </w:t>
      </w:r>
      <w:r>
        <w:t>an</w:t>
      </w:r>
      <w:r w:rsidRPr="00D26814">
        <w:t xml:space="preserve"> instrument </w:t>
      </w:r>
      <w:r>
        <w:t>if it is</w:t>
      </w:r>
      <w:r w:rsidRPr="00D26814">
        <w:t xml:space="preserve"> lodged on the Federal Register of Legislati</w:t>
      </w:r>
      <w:r>
        <w:t xml:space="preserve">on. </w:t>
      </w:r>
    </w:p>
    <w:p w14:paraId="7B4894C5" w14:textId="5837ADBB" w:rsidR="002C1A3B" w:rsidRDefault="002A088B" w:rsidP="002A088B">
      <w:pPr>
        <w:pStyle w:val="Heading1"/>
      </w:pPr>
      <w:bookmarkStart w:id="79" w:name="_Toc460941270"/>
      <w:r>
        <w:t>4</w:t>
      </w:r>
      <w:r w:rsidR="002C1A3B" w:rsidRPr="008C301D">
        <w:tab/>
        <w:t>Risk communication</w:t>
      </w:r>
      <w:bookmarkEnd w:id="66"/>
      <w:bookmarkEnd w:id="67"/>
      <w:bookmarkEnd w:id="79"/>
      <w:r w:rsidR="002C1A3B" w:rsidRPr="008C301D">
        <w:t xml:space="preserve"> </w:t>
      </w:r>
    </w:p>
    <w:p w14:paraId="7FCF8BEB" w14:textId="2CA6923E" w:rsidR="002A088B" w:rsidRPr="002A088B" w:rsidRDefault="002A088B" w:rsidP="002A088B">
      <w:pPr>
        <w:pStyle w:val="Heading2"/>
      </w:pPr>
      <w:bookmarkStart w:id="80" w:name="_Toc460941271"/>
      <w:r>
        <w:t>4.1</w:t>
      </w:r>
      <w:r>
        <w:tab/>
        <w:t>Consultation</w:t>
      </w:r>
      <w:bookmarkEnd w:id="80"/>
    </w:p>
    <w:p w14:paraId="3930436C" w14:textId="70BBE28D" w:rsidR="002A088B" w:rsidRPr="00A82B2D" w:rsidRDefault="002A088B" w:rsidP="002A088B">
      <w:pPr>
        <w:rPr>
          <w:rFonts w:cs="Arial"/>
          <w:szCs w:val="22"/>
        </w:rPr>
      </w:pPr>
      <w:r w:rsidRPr="00A82B2D">
        <w:rPr>
          <w:rFonts w:cs="Arial"/>
          <w:szCs w:val="22"/>
        </w:rPr>
        <w:t xml:space="preserve">Consultation is a key part of FSANZ’s standards development process. After assessing the Application, public submissions were </w:t>
      </w:r>
      <w:r w:rsidR="002C6B30">
        <w:rPr>
          <w:rFonts w:cs="Arial"/>
          <w:szCs w:val="22"/>
        </w:rPr>
        <w:t xml:space="preserve">invited </w:t>
      </w:r>
      <w:r w:rsidRPr="00A82B2D">
        <w:rPr>
          <w:rFonts w:cs="Arial"/>
          <w:szCs w:val="22"/>
        </w:rPr>
        <w:t xml:space="preserve">from </w:t>
      </w:r>
      <w:r w:rsidRPr="0023073E">
        <w:rPr>
          <w:rFonts w:cs="Arial"/>
          <w:szCs w:val="22"/>
        </w:rPr>
        <w:t>29 June to 10 August 2016,</w:t>
      </w:r>
      <w:r w:rsidRPr="00A82B2D">
        <w:rPr>
          <w:rFonts w:cs="Arial"/>
          <w:szCs w:val="22"/>
        </w:rPr>
        <w:t xml:space="preserve"> to obtain the views of interested parties on the impacts of the regulatory options. </w:t>
      </w:r>
      <w:r w:rsidR="000A01C8">
        <w:rPr>
          <w:rFonts w:cs="Arial"/>
          <w:szCs w:val="22"/>
        </w:rPr>
        <w:t>Five</w:t>
      </w:r>
      <w:r w:rsidRPr="00A82B2D">
        <w:rPr>
          <w:rFonts w:cs="Arial"/>
          <w:szCs w:val="22"/>
        </w:rPr>
        <w:t xml:space="preserve"> submissions were received; </w:t>
      </w:r>
      <w:r w:rsidR="000A01C8" w:rsidRPr="000A01C8">
        <w:rPr>
          <w:rFonts w:cs="Arial"/>
          <w:szCs w:val="22"/>
        </w:rPr>
        <w:t>two</w:t>
      </w:r>
      <w:r w:rsidRPr="000A01C8">
        <w:rPr>
          <w:rFonts w:cs="Arial"/>
          <w:szCs w:val="22"/>
        </w:rPr>
        <w:t xml:space="preserve"> from the food industry and </w:t>
      </w:r>
      <w:r w:rsidR="000A01C8" w:rsidRPr="000A01C8">
        <w:rPr>
          <w:rFonts w:cs="Arial"/>
          <w:szCs w:val="22"/>
        </w:rPr>
        <w:t>three</w:t>
      </w:r>
      <w:r w:rsidRPr="000A01C8">
        <w:rPr>
          <w:rFonts w:cs="Arial"/>
          <w:szCs w:val="22"/>
        </w:rPr>
        <w:t xml:space="preserve"> from </w:t>
      </w:r>
      <w:r w:rsidR="00520919">
        <w:rPr>
          <w:rFonts w:cs="Arial"/>
          <w:szCs w:val="22"/>
        </w:rPr>
        <w:t>g</w:t>
      </w:r>
      <w:r w:rsidRPr="000A01C8">
        <w:rPr>
          <w:rFonts w:cs="Arial"/>
          <w:szCs w:val="22"/>
        </w:rPr>
        <w:t xml:space="preserve">overnment agencies. </w:t>
      </w:r>
      <w:r w:rsidR="00520919">
        <w:rPr>
          <w:rFonts w:cs="Arial"/>
          <w:szCs w:val="22"/>
        </w:rPr>
        <w:t>La</w:t>
      </w:r>
      <w:r w:rsidR="000A01C8" w:rsidRPr="000A01C8">
        <w:rPr>
          <w:rFonts w:cs="Arial"/>
          <w:szCs w:val="22"/>
        </w:rPr>
        <w:t xml:space="preserve">te </w:t>
      </w:r>
      <w:r w:rsidR="00520919">
        <w:rPr>
          <w:rFonts w:cs="Arial"/>
          <w:szCs w:val="22"/>
        </w:rPr>
        <w:t>comments</w:t>
      </w:r>
      <w:r w:rsidR="00520919" w:rsidRPr="000A01C8">
        <w:rPr>
          <w:rFonts w:cs="Arial"/>
          <w:szCs w:val="22"/>
        </w:rPr>
        <w:t xml:space="preserve"> </w:t>
      </w:r>
      <w:r w:rsidR="000A01C8" w:rsidRPr="000A01C8">
        <w:rPr>
          <w:rFonts w:cs="Arial"/>
          <w:szCs w:val="22"/>
        </w:rPr>
        <w:t xml:space="preserve">from </w:t>
      </w:r>
      <w:r w:rsidR="00520919">
        <w:rPr>
          <w:rFonts w:cs="Arial"/>
          <w:szCs w:val="22"/>
        </w:rPr>
        <w:t>a</w:t>
      </w:r>
      <w:r w:rsidR="00520919" w:rsidRPr="000A01C8">
        <w:rPr>
          <w:rFonts w:cs="Arial"/>
          <w:szCs w:val="22"/>
        </w:rPr>
        <w:t xml:space="preserve"> </w:t>
      </w:r>
      <w:r w:rsidR="000A01C8" w:rsidRPr="000A01C8">
        <w:rPr>
          <w:rFonts w:cs="Arial"/>
          <w:szCs w:val="22"/>
        </w:rPr>
        <w:t xml:space="preserve">food industry </w:t>
      </w:r>
      <w:r w:rsidR="00520919">
        <w:rPr>
          <w:rFonts w:cs="Arial"/>
          <w:szCs w:val="22"/>
        </w:rPr>
        <w:t>organisation were</w:t>
      </w:r>
      <w:r w:rsidR="000A01C8" w:rsidRPr="000A01C8">
        <w:rPr>
          <w:rFonts w:cs="Arial"/>
          <w:szCs w:val="22"/>
        </w:rPr>
        <w:t xml:space="preserve"> also received. No issues were raised. </w:t>
      </w:r>
      <w:r w:rsidRPr="000A01C8">
        <w:rPr>
          <w:rFonts w:cs="Arial"/>
          <w:szCs w:val="22"/>
        </w:rPr>
        <w:t>All submitters supported the</w:t>
      </w:r>
      <w:r w:rsidR="00520919">
        <w:rPr>
          <w:rFonts w:cs="Arial"/>
          <w:szCs w:val="22"/>
        </w:rPr>
        <w:t xml:space="preserve"> draft variation</w:t>
      </w:r>
      <w:r w:rsidRPr="000A01C8">
        <w:rPr>
          <w:rFonts w:cs="Arial"/>
          <w:szCs w:val="22"/>
        </w:rPr>
        <w:t xml:space="preserve">. </w:t>
      </w:r>
    </w:p>
    <w:p w14:paraId="0B974F4B" w14:textId="77777777" w:rsidR="002A088B" w:rsidRPr="00A82B2D" w:rsidRDefault="002A088B" w:rsidP="002A088B"/>
    <w:p w14:paraId="46C9A78B" w14:textId="77777777" w:rsidR="002A088B" w:rsidRDefault="002A088B" w:rsidP="002A088B">
      <w:pPr>
        <w:rPr>
          <w:szCs w:val="22"/>
        </w:rPr>
      </w:pPr>
      <w:r w:rsidRPr="00A82B2D">
        <w:rPr>
          <w:szCs w:val="22"/>
        </w:rPr>
        <w:t>FSANZ acknowledges the time taken by individuals and organisations to make submissions on this Application</w:t>
      </w:r>
      <w:r w:rsidRPr="00A82B2D">
        <w:rPr>
          <w:color w:val="FF0000"/>
          <w:szCs w:val="22"/>
        </w:rPr>
        <w:t xml:space="preserve">. </w:t>
      </w:r>
      <w:r w:rsidRPr="00A82B2D">
        <w:rPr>
          <w:szCs w:val="22"/>
        </w:rPr>
        <w:t xml:space="preserve">Every submission </w:t>
      </w:r>
      <w:r>
        <w:rPr>
          <w:szCs w:val="22"/>
        </w:rPr>
        <w:t>wa</w:t>
      </w:r>
      <w:r w:rsidRPr="00A82B2D">
        <w:rPr>
          <w:szCs w:val="22"/>
        </w:rPr>
        <w:t xml:space="preserve">s considered by the FSANZ Board. All comments are valued and contribute to the rigour of our assessment. </w:t>
      </w:r>
    </w:p>
    <w:p w14:paraId="412D5B49" w14:textId="77777777" w:rsidR="002A088B" w:rsidRDefault="002A088B" w:rsidP="002A088B">
      <w:pPr>
        <w:rPr>
          <w:szCs w:val="22"/>
        </w:rPr>
      </w:pPr>
    </w:p>
    <w:p w14:paraId="56AE7A29" w14:textId="121776DC" w:rsidR="001E3BA0" w:rsidRPr="001E3BA0" w:rsidRDefault="001E3BA0" w:rsidP="001E3BA0">
      <w:r w:rsidRPr="001E3BA0">
        <w:t xml:space="preserve">FSANZ applied a basic communication strategy to this Application, involving one call for submissions. </w:t>
      </w:r>
      <w:r w:rsidR="007D2761">
        <w:t>The</w:t>
      </w:r>
      <w:r w:rsidRPr="001E3BA0">
        <w:t xml:space="preserve"> call for submissions w</w:t>
      </w:r>
      <w:r w:rsidR="007D2761">
        <w:t>as</w:t>
      </w:r>
      <w:r w:rsidRPr="001E3BA0">
        <w:t xml:space="preserve"> notified via the </w:t>
      </w:r>
      <w:r w:rsidR="007D2761">
        <w:t>FSANZ</w:t>
      </w:r>
      <w:r w:rsidRPr="001E3BA0">
        <w:t xml:space="preserve"> Notification Circular, media release, FSANZ’s social media tools and Food Standards News. The Applicant, individuals and organisations that made submissions on this Application were notified at each stage of the assessment. Subscribers and interested parties were also notified via email about the availability of reports for public comment. </w:t>
      </w:r>
    </w:p>
    <w:p w14:paraId="7E916ABB" w14:textId="77777777" w:rsidR="001E3BA0" w:rsidRPr="001E3BA0" w:rsidRDefault="001E3BA0" w:rsidP="001E3BA0">
      <w:pPr>
        <w:rPr>
          <w:lang w:bidi="ar-SA"/>
        </w:rPr>
      </w:pPr>
    </w:p>
    <w:p w14:paraId="2BB88118" w14:textId="46C038FB" w:rsidR="001E3BA0" w:rsidRPr="001E3BA0" w:rsidRDefault="007D2761" w:rsidP="001E3BA0">
      <w:pPr>
        <w:widowControl/>
        <w:autoSpaceDE w:val="0"/>
        <w:autoSpaceDN w:val="0"/>
        <w:adjustRightInd w:val="0"/>
        <w:rPr>
          <w:rFonts w:ascii="Times New Roman" w:hAnsi="Times New Roman"/>
          <w:color w:val="000000"/>
          <w:sz w:val="24"/>
          <w:lang w:val="en-AU" w:eastAsia="en-GB" w:bidi="ar-SA"/>
        </w:rPr>
      </w:pPr>
      <w:r w:rsidRPr="000A01C8">
        <w:rPr>
          <w:rFonts w:cs="Arial"/>
          <w:szCs w:val="22"/>
          <w:lang w:val="en-AU" w:eastAsia="en-GB" w:bidi="ar-SA"/>
        </w:rPr>
        <w:t xml:space="preserve">The </w:t>
      </w:r>
      <w:r w:rsidR="001E3BA0" w:rsidRPr="000A01C8">
        <w:rPr>
          <w:rFonts w:cs="Arial"/>
          <w:szCs w:val="22"/>
          <w:lang w:val="en-AU" w:eastAsia="en-GB" w:bidi="ar-SA"/>
        </w:rPr>
        <w:t>FSANZ</w:t>
      </w:r>
      <w:r w:rsidRPr="000A01C8">
        <w:rPr>
          <w:rFonts w:cs="Arial"/>
          <w:szCs w:val="22"/>
          <w:lang w:val="en-AU" w:eastAsia="en-GB" w:bidi="ar-SA"/>
        </w:rPr>
        <w:t xml:space="preserve"> Board’s</w:t>
      </w:r>
      <w:r w:rsidR="001E3BA0" w:rsidRPr="000A01C8">
        <w:rPr>
          <w:rFonts w:cs="Arial"/>
          <w:szCs w:val="22"/>
          <w:lang w:val="en-AU" w:eastAsia="en-GB" w:bidi="ar-SA"/>
        </w:rPr>
        <w:t xml:space="preserve"> decision to approve the draft variations has been</w:t>
      </w:r>
      <w:r w:rsidR="001E3BA0" w:rsidRPr="001E3BA0">
        <w:rPr>
          <w:rFonts w:cs="Arial"/>
          <w:szCs w:val="22"/>
          <w:lang w:val="en-AU" w:eastAsia="en-GB" w:bidi="ar-SA"/>
        </w:rPr>
        <w:t xml:space="preserve"> notified to the Australia and New Zealand Ministerial Forum on Food Regulation. If the decision is not subject to a request for a review, the Applicant and stakeholders, including the public, will be notified of the gazettal of the variations to the Code </w:t>
      </w:r>
      <w:r w:rsidR="00520919">
        <w:rPr>
          <w:rFonts w:cs="Arial"/>
          <w:szCs w:val="22"/>
          <w:lang w:val="en-AU" w:eastAsia="en-GB" w:bidi="ar-SA"/>
        </w:rPr>
        <w:t>via email</w:t>
      </w:r>
      <w:r w:rsidR="001E3BA0" w:rsidRPr="001E3BA0">
        <w:rPr>
          <w:rFonts w:cs="Arial"/>
          <w:szCs w:val="22"/>
          <w:lang w:val="en-AU" w:eastAsia="en-GB" w:bidi="ar-SA"/>
        </w:rPr>
        <w:t xml:space="preserve"> and the FSANZ website.</w:t>
      </w:r>
    </w:p>
    <w:p w14:paraId="12AE514D" w14:textId="20BD564C" w:rsidR="002C1A3B" w:rsidRPr="002C1A3B" w:rsidRDefault="001C72F4" w:rsidP="001C72F4">
      <w:pPr>
        <w:pStyle w:val="Heading1"/>
      </w:pPr>
      <w:bookmarkStart w:id="81" w:name="_Toc370223477"/>
      <w:bookmarkStart w:id="82" w:name="_Toc370225392"/>
      <w:bookmarkStart w:id="83" w:name="_Toc460941272"/>
      <w:bookmarkStart w:id="84" w:name="_Toc309291816"/>
      <w:bookmarkStart w:id="85" w:name="_Toc300933448"/>
      <w:bookmarkStart w:id="86" w:name="_Toc300933577"/>
      <w:bookmarkStart w:id="87" w:name="_Toc301535601"/>
      <w:bookmarkStart w:id="88" w:name="_Toc309385464"/>
      <w:bookmarkStart w:id="89" w:name="_Toc175381456"/>
      <w:bookmarkEnd w:id="38"/>
      <w:bookmarkEnd w:id="39"/>
      <w:bookmarkEnd w:id="40"/>
      <w:bookmarkEnd w:id="41"/>
      <w:bookmarkEnd w:id="42"/>
      <w:bookmarkEnd w:id="43"/>
      <w:bookmarkEnd w:id="68"/>
      <w:r>
        <w:t>5</w:t>
      </w:r>
      <w:r w:rsidR="002C1A3B" w:rsidRPr="002C1A3B">
        <w:tab/>
        <w:t>FSANZ Act assessment requirements</w:t>
      </w:r>
      <w:bookmarkEnd w:id="81"/>
      <w:bookmarkEnd w:id="82"/>
      <w:bookmarkEnd w:id="83"/>
    </w:p>
    <w:p w14:paraId="4471A700" w14:textId="1A16939C" w:rsidR="002C1A3B" w:rsidRDefault="001C72F4" w:rsidP="001C72F4">
      <w:pPr>
        <w:pStyle w:val="Heading2"/>
      </w:pPr>
      <w:bookmarkStart w:id="90" w:name="_Toc370223478"/>
      <w:bookmarkStart w:id="91" w:name="_Toc370225393"/>
      <w:bookmarkStart w:id="92" w:name="_Toc460941273"/>
      <w:bookmarkEnd w:id="84"/>
      <w:bookmarkEnd w:id="85"/>
      <w:bookmarkEnd w:id="86"/>
      <w:bookmarkEnd w:id="87"/>
      <w:bookmarkEnd w:id="88"/>
      <w:r>
        <w:t>5</w:t>
      </w:r>
      <w:r w:rsidR="002C1A3B" w:rsidRPr="002C1A3B">
        <w:t>.1</w:t>
      </w:r>
      <w:r w:rsidR="002C1A3B" w:rsidRPr="002C1A3B">
        <w:tab/>
        <w:t xml:space="preserve">Section </w:t>
      </w:r>
      <w:r w:rsidR="002C1A3B" w:rsidRPr="00223F75">
        <w:t>29</w:t>
      </w:r>
      <w:bookmarkEnd w:id="90"/>
      <w:bookmarkEnd w:id="91"/>
      <w:bookmarkEnd w:id="92"/>
    </w:p>
    <w:p w14:paraId="1A538570" w14:textId="375635E3" w:rsidR="00103C7B" w:rsidRDefault="00AA5944" w:rsidP="00AA5944">
      <w:pPr>
        <w:rPr>
          <w:lang w:bidi="ar-SA"/>
        </w:rPr>
      </w:pPr>
      <w:r w:rsidRPr="00AA5944">
        <w:rPr>
          <w:lang w:bidi="ar-SA"/>
        </w:rPr>
        <w:t xml:space="preserve">When assessing this Application and the subsequent development of a food regulatory measure, FSANZ must have regard to the following matters in section 29 of the FSANZ Act. </w:t>
      </w:r>
      <w:r w:rsidR="00103C7B">
        <w:rPr>
          <w:lang w:bidi="ar-SA"/>
        </w:rPr>
        <w:br w:type="page"/>
      </w:r>
    </w:p>
    <w:p w14:paraId="57209566" w14:textId="48C760A0" w:rsidR="002C1A3B" w:rsidRPr="002C1A3B" w:rsidRDefault="001C72F4" w:rsidP="001C72F4">
      <w:pPr>
        <w:pStyle w:val="Heading3"/>
      </w:pPr>
      <w:bookmarkStart w:id="93" w:name="_Toc460941274"/>
      <w:r>
        <w:lastRenderedPageBreak/>
        <w:t>5.</w:t>
      </w:r>
      <w:r w:rsidR="002C1A3B" w:rsidRPr="002C1A3B">
        <w:t>1.1</w:t>
      </w:r>
      <w:r w:rsidR="002C1A3B" w:rsidRPr="002C1A3B">
        <w:tab/>
        <w:t>Cost benefit analysis</w:t>
      </w:r>
      <w:bookmarkEnd w:id="93"/>
    </w:p>
    <w:p w14:paraId="7CB9C081" w14:textId="403CA504" w:rsidR="0023073E" w:rsidRDefault="00AA5944" w:rsidP="00AA5944">
      <w:r w:rsidRPr="00AA5944">
        <w:rPr>
          <w:bCs/>
        </w:rPr>
        <w:t>As explained in section 2.</w:t>
      </w:r>
      <w:r w:rsidR="001C72F4">
        <w:rPr>
          <w:bCs/>
        </w:rPr>
        <w:t>3.4</w:t>
      </w:r>
      <w:r w:rsidRPr="00AA5944">
        <w:rPr>
          <w:bCs/>
        </w:rPr>
        <w:t xml:space="preserve">, FSANZ conducted a cost benefit analysis which concluded that </w:t>
      </w:r>
      <w:r w:rsidRPr="00AA5944">
        <w:t>the benefits that would arise from the proposed food regulatory measure will outweigh the costs to the community, Government or industry that may arise from that measure.</w:t>
      </w:r>
    </w:p>
    <w:p w14:paraId="3E8D2FC6" w14:textId="593A703D" w:rsidR="002C1A3B" w:rsidRPr="002C1A3B" w:rsidRDefault="001C72F4" w:rsidP="001C72F4">
      <w:pPr>
        <w:pStyle w:val="Heading3"/>
      </w:pPr>
      <w:bookmarkStart w:id="94" w:name="_Toc460941275"/>
      <w:r>
        <w:t>5</w:t>
      </w:r>
      <w:r w:rsidR="002C1A3B" w:rsidRPr="002C1A3B">
        <w:t>.1.2</w:t>
      </w:r>
      <w:r w:rsidR="002C1A3B" w:rsidRPr="002C1A3B">
        <w:tab/>
        <w:t>Other measures</w:t>
      </w:r>
      <w:bookmarkEnd w:id="94"/>
    </w:p>
    <w:p w14:paraId="496E965F" w14:textId="50128265" w:rsidR="002C1A3B" w:rsidRPr="002C1A3B" w:rsidRDefault="002C1A3B" w:rsidP="002C1A3B">
      <w:pPr>
        <w:rPr>
          <w:color w:val="FF0000"/>
        </w:rPr>
      </w:pPr>
      <w:r w:rsidRPr="002C1A3B">
        <w:t xml:space="preserve">There are no other measures (whether available to FSANZ or not) that would be more cost-effective than a food regulatory measure developed or varied as a result of the </w:t>
      </w:r>
      <w:r w:rsidR="00250821" w:rsidRPr="00AA5944">
        <w:t>Application</w:t>
      </w:r>
      <w:r w:rsidRPr="00AA5944">
        <w:t>.</w:t>
      </w:r>
    </w:p>
    <w:p w14:paraId="328B9361" w14:textId="72A91CCE" w:rsidR="002C1A3B" w:rsidRPr="002C1A3B" w:rsidRDefault="001C72F4" w:rsidP="001C72F4">
      <w:pPr>
        <w:pStyle w:val="Heading3"/>
      </w:pPr>
      <w:bookmarkStart w:id="95" w:name="_Toc460941276"/>
      <w:r>
        <w:t>5</w:t>
      </w:r>
      <w:r w:rsidR="002C1A3B" w:rsidRPr="002C1A3B">
        <w:t>.1.3</w:t>
      </w:r>
      <w:r w:rsidR="002C1A3B" w:rsidRPr="002C1A3B">
        <w:tab/>
        <w:t>Any relevant New Zealand standards</w:t>
      </w:r>
      <w:bookmarkEnd w:id="95"/>
    </w:p>
    <w:p w14:paraId="1202D666" w14:textId="77777777" w:rsidR="00AA5944" w:rsidRPr="00AA5944" w:rsidRDefault="00AA5944" w:rsidP="00AA5944">
      <w:pPr>
        <w:rPr>
          <w:lang w:bidi="ar-SA"/>
        </w:rPr>
      </w:pPr>
      <w:r w:rsidRPr="00AA5944">
        <w:rPr>
          <w:lang w:bidi="ar-SA"/>
        </w:rPr>
        <w:t>Schedule 15 applies in both Australia and New Zealand.</w:t>
      </w:r>
    </w:p>
    <w:p w14:paraId="698518F5" w14:textId="3589149F" w:rsidR="002C1A3B" w:rsidRPr="002C1A3B" w:rsidRDefault="001C72F4" w:rsidP="001C72F4">
      <w:pPr>
        <w:pStyle w:val="Heading3"/>
      </w:pPr>
      <w:bookmarkStart w:id="96" w:name="_Toc460941277"/>
      <w:r>
        <w:t>5</w:t>
      </w:r>
      <w:r w:rsidR="002C1A3B" w:rsidRPr="002C1A3B">
        <w:t>.1.4</w:t>
      </w:r>
      <w:r w:rsidR="002C1A3B" w:rsidRPr="002C1A3B">
        <w:tab/>
        <w:t>Any other relevant matters</w:t>
      </w:r>
      <w:bookmarkEnd w:id="96"/>
    </w:p>
    <w:p w14:paraId="321B5EB9" w14:textId="0FA5B83F" w:rsidR="002C1A3B" w:rsidRPr="002C1A3B" w:rsidRDefault="000418AC" w:rsidP="002C1A3B">
      <w:pPr>
        <w:rPr>
          <w:lang w:bidi="ar-SA"/>
        </w:rPr>
      </w:pPr>
      <w:r>
        <w:rPr>
          <w:lang w:bidi="ar-SA"/>
        </w:rPr>
        <w:t>O</w:t>
      </w:r>
      <w:r w:rsidR="002C1A3B" w:rsidRPr="002C1A3B">
        <w:rPr>
          <w:lang w:bidi="ar-SA"/>
        </w:rPr>
        <w:t>ther relevant matters</w:t>
      </w:r>
      <w:r>
        <w:rPr>
          <w:lang w:bidi="ar-SA"/>
        </w:rPr>
        <w:t xml:space="preserve"> are considered below.</w:t>
      </w:r>
    </w:p>
    <w:p w14:paraId="5F0DB260" w14:textId="7B73B983" w:rsidR="002C1A3B" w:rsidRPr="002C1A3B" w:rsidRDefault="001C72F4" w:rsidP="001C72F4">
      <w:pPr>
        <w:pStyle w:val="Heading2"/>
      </w:pPr>
      <w:bookmarkStart w:id="97" w:name="_Toc370223479"/>
      <w:bookmarkStart w:id="98" w:name="_Toc370225394"/>
      <w:bookmarkStart w:id="99" w:name="_Toc460941278"/>
      <w:bookmarkStart w:id="100" w:name="_Toc300761897"/>
      <w:bookmarkStart w:id="101" w:name="_Toc300933440"/>
      <w:r>
        <w:t>5.</w:t>
      </w:r>
      <w:r w:rsidR="00CF0241">
        <w:t>2</w:t>
      </w:r>
      <w:r w:rsidR="002C1A3B" w:rsidRPr="002C1A3B">
        <w:tab/>
        <w:t>Subsection 18(1)</w:t>
      </w:r>
      <w:bookmarkEnd w:id="97"/>
      <w:bookmarkEnd w:id="98"/>
      <w:bookmarkEnd w:id="99"/>
      <w:r w:rsidR="002C1A3B" w:rsidRPr="002C1A3B">
        <w:t xml:space="preserve"> </w:t>
      </w:r>
      <w:bookmarkEnd w:id="100"/>
      <w:bookmarkEnd w:id="101"/>
    </w:p>
    <w:p w14:paraId="2B80FE8B" w14:textId="77777777" w:rsidR="002C1A3B" w:rsidRPr="002C1A3B" w:rsidRDefault="002C1A3B" w:rsidP="002C1A3B">
      <w:r w:rsidRPr="002C1A3B">
        <w:rPr>
          <w:rFonts w:cs="Arial"/>
        </w:rPr>
        <w:t xml:space="preserve">FSANZ has also </w:t>
      </w:r>
      <w:r w:rsidRPr="002C1A3B">
        <w:t>considered the three objectives in subsection 18(1) of the FSANZ Act during the assessment.</w:t>
      </w:r>
    </w:p>
    <w:p w14:paraId="0EB1E308" w14:textId="08CE4C80" w:rsidR="002C1A3B" w:rsidRPr="002C1A3B" w:rsidRDefault="001C72F4" w:rsidP="001C72F4">
      <w:pPr>
        <w:pStyle w:val="Heading3"/>
      </w:pPr>
      <w:bookmarkStart w:id="102" w:name="_Toc297029117"/>
      <w:bookmarkStart w:id="103" w:name="_Toc300761898"/>
      <w:bookmarkStart w:id="104" w:name="_Toc300933441"/>
      <w:bookmarkStart w:id="105" w:name="_Toc460941279"/>
      <w:r>
        <w:t>5</w:t>
      </w:r>
      <w:r w:rsidR="002C1A3B" w:rsidRPr="002C1A3B">
        <w:t>.2.1</w:t>
      </w:r>
      <w:r w:rsidR="002C1A3B" w:rsidRPr="002C1A3B">
        <w:tab/>
        <w:t>Protection of public health and safety</w:t>
      </w:r>
      <w:bookmarkEnd w:id="102"/>
      <w:bookmarkEnd w:id="103"/>
      <w:bookmarkEnd w:id="104"/>
      <w:bookmarkEnd w:id="105"/>
    </w:p>
    <w:p w14:paraId="343F4703" w14:textId="0D88B8BC" w:rsidR="004A533F" w:rsidRPr="004A533F" w:rsidRDefault="004A533F" w:rsidP="004A533F">
      <w:bookmarkStart w:id="106" w:name="_Toc300761899"/>
      <w:bookmarkStart w:id="107" w:name="_Toc300933442"/>
      <w:r w:rsidRPr="004A533F">
        <w:t>Propionates have been permitted as food additives in the Code for many years, in a range of food categories as detailed in Schedule 15. FSANZ ha</w:t>
      </w:r>
      <w:r w:rsidR="00AD0856">
        <w:t>d</w:t>
      </w:r>
      <w:r w:rsidRPr="004A533F">
        <w:t xml:space="preserve"> undertaken a risk assessment on the safety and efficacy associated with the requested extension of use (see SD1 and </w:t>
      </w:r>
      <w:r w:rsidRPr="000A01C8">
        <w:t>Section 2.</w:t>
      </w:r>
      <w:r w:rsidR="001159EB" w:rsidRPr="000A01C8">
        <w:t>2</w:t>
      </w:r>
      <w:r w:rsidRPr="004A533F">
        <w:t xml:space="preserve"> above) and concluded that there are no public health and safety concerns from extending the use of propionates, as anti-microbial preservatives, in processed meat, poultry and game products under GMP conditions. </w:t>
      </w:r>
    </w:p>
    <w:p w14:paraId="399155A8" w14:textId="118C5C2D" w:rsidR="002C1A3B" w:rsidRPr="002C1A3B" w:rsidRDefault="001C72F4" w:rsidP="001C72F4">
      <w:pPr>
        <w:pStyle w:val="Heading3"/>
      </w:pPr>
      <w:bookmarkStart w:id="108" w:name="_Toc460941280"/>
      <w:r>
        <w:t>5</w:t>
      </w:r>
      <w:r w:rsidR="002C1A3B" w:rsidRPr="002C1A3B">
        <w:t>.2.2</w:t>
      </w:r>
      <w:r w:rsidR="002C1A3B" w:rsidRPr="002C1A3B">
        <w:tab/>
        <w:t>The provision of adequate information relating to food to enable consumers to make informed choices</w:t>
      </w:r>
      <w:bookmarkEnd w:id="106"/>
      <w:bookmarkEnd w:id="107"/>
      <w:bookmarkEnd w:id="108"/>
    </w:p>
    <w:p w14:paraId="47774B0E" w14:textId="0326F175" w:rsidR="004A533F" w:rsidRPr="004A533F" w:rsidRDefault="004A533F" w:rsidP="004A533F">
      <w:bookmarkStart w:id="109" w:name="_Toc300761900"/>
      <w:bookmarkStart w:id="110" w:name="_Toc300933443"/>
      <w:r w:rsidRPr="004A533F">
        <w:t>Th</w:t>
      </w:r>
      <w:r w:rsidR="00AD0856">
        <w:t>e</w:t>
      </w:r>
      <w:r w:rsidRPr="004A533F">
        <w:t xml:space="preserve"> variation to the Code does not vary the generic labelling requirements applicable to the use of propionates in processed meat, poultry and game products. The existing labelling requirements that apply to the use of propionates will also apply to this variation, and so will maintain the current level of information provided to consumers. </w:t>
      </w:r>
    </w:p>
    <w:p w14:paraId="03890CAD" w14:textId="03E35F11" w:rsidR="002C1A3B" w:rsidRPr="002C1A3B" w:rsidRDefault="001C72F4" w:rsidP="001C72F4">
      <w:pPr>
        <w:pStyle w:val="Heading3"/>
      </w:pPr>
      <w:bookmarkStart w:id="111" w:name="_Toc460941281"/>
      <w:r>
        <w:t>5</w:t>
      </w:r>
      <w:r w:rsidR="002C1A3B" w:rsidRPr="002C1A3B">
        <w:t>.2.3</w:t>
      </w:r>
      <w:r w:rsidR="002C1A3B" w:rsidRPr="002C1A3B">
        <w:tab/>
        <w:t>The prevention of misleading or deceptive conduct</w:t>
      </w:r>
      <w:bookmarkEnd w:id="109"/>
      <w:bookmarkEnd w:id="110"/>
      <w:bookmarkEnd w:id="111"/>
    </w:p>
    <w:p w14:paraId="61FFB910" w14:textId="77777777" w:rsidR="004A533F" w:rsidRPr="004A533F" w:rsidRDefault="004A533F" w:rsidP="004A533F">
      <w:bookmarkStart w:id="112" w:name="_Toc300761901"/>
      <w:bookmarkStart w:id="113" w:name="_Toc300933444"/>
      <w:bookmarkStart w:id="114" w:name="_Toc370223480"/>
      <w:bookmarkStart w:id="115" w:name="_Toc370225395"/>
      <w:r w:rsidRPr="004A533F">
        <w:t xml:space="preserve">FSANZ has not identified any relevant issues relating to the prevention of misleading or deceptive conduct for this Application. </w:t>
      </w:r>
    </w:p>
    <w:p w14:paraId="1AAE60F8" w14:textId="4E77842E" w:rsidR="002C1A3B" w:rsidRPr="001C72F4" w:rsidRDefault="001C72F4" w:rsidP="001C72F4">
      <w:pPr>
        <w:pStyle w:val="Heading2"/>
      </w:pPr>
      <w:bookmarkStart w:id="116" w:name="_Toc460941282"/>
      <w:r w:rsidRPr="001C72F4">
        <w:t>5</w:t>
      </w:r>
      <w:r w:rsidR="002C1A3B" w:rsidRPr="001C72F4">
        <w:t>.3</w:t>
      </w:r>
      <w:r w:rsidR="002C1A3B" w:rsidRPr="001C72F4">
        <w:tab/>
        <w:t xml:space="preserve">Subsection 18(2) </w:t>
      </w:r>
      <w:bookmarkEnd w:id="112"/>
      <w:bookmarkEnd w:id="113"/>
      <w:r w:rsidR="002C1A3B" w:rsidRPr="001C72F4">
        <w:t>considerations</w:t>
      </w:r>
      <w:bookmarkEnd w:id="114"/>
      <w:bookmarkEnd w:id="115"/>
      <w:bookmarkEnd w:id="116"/>
    </w:p>
    <w:p w14:paraId="2ECAB93A" w14:textId="77777777" w:rsidR="002C1A3B" w:rsidRPr="002C1A3B" w:rsidRDefault="002C1A3B" w:rsidP="002C1A3B">
      <w:pPr>
        <w:rPr>
          <w:rFonts w:cs="Arial"/>
        </w:rPr>
      </w:pPr>
      <w:r w:rsidRPr="002C1A3B">
        <w:rPr>
          <w:rFonts w:cs="Arial"/>
        </w:rPr>
        <w:t>FSANZ has also had regard to:</w:t>
      </w:r>
    </w:p>
    <w:p w14:paraId="3230A337" w14:textId="77777777" w:rsidR="002C1A3B" w:rsidRPr="002C1A3B" w:rsidRDefault="002C1A3B" w:rsidP="002C1A3B">
      <w:pPr>
        <w:rPr>
          <w:rFonts w:cs="Arial"/>
        </w:rPr>
      </w:pPr>
    </w:p>
    <w:p w14:paraId="0EF230DA" w14:textId="77777777" w:rsidR="002C1A3B" w:rsidRPr="002C1A3B" w:rsidRDefault="002C1A3B" w:rsidP="002C1A3B">
      <w:pPr>
        <w:pStyle w:val="FSBullet1"/>
        <w:rPr>
          <w:b/>
        </w:rPr>
      </w:pPr>
      <w:r w:rsidRPr="002C1A3B">
        <w:rPr>
          <w:b/>
        </w:rPr>
        <w:t>the need for standards to be based on risk analysis using the best available scientific evidence</w:t>
      </w:r>
    </w:p>
    <w:p w14:paraId="7C48D3B0" w14:textId="77777777" w:rsidR="002C1A3B" w:rsidRPr="002C1A3B" w:rsidRDefault="002C1A3B" w:rsidP="002C1A3B">
      <w:pPr>
        <w:rPr>
          <w:lang w:bidi="ar-SA"/>
        </w:rPr>
      </w:pPr>
    </w:p>
    <w:p w14:paraId="2EEC2C8E" w14:textId="77777777" w:rsidR="00103C7B" w:rsidRDefault="004A533F" w:rsidP="00103C7B">
      <w:pPr>
        <w:ind w:right="-286"/>
      </w:pPr>
      <w:r w:rsidRPr="004A533F">
        <w:t xml:space="preserve">This Application was assessed using the best available scientific evidence. The Applicant submitted information on scientific studies and technical aspects in support of the Application. </w:t>
      </w:r>
      <w:r w:rsidR="00103C7B">
        <w:br w:type="page"/>
      </w:r>
    </w:p>
    <w:p w14:paraId="14076920" w14:textId="36CB4393" w:rsidR="004A533F" w:rsidRPr="004A533F" w:rsidRDefault="004A533F" w:rsidP="00103C7B">
      <w:pPr>
        <w:ind w:right="-286"/>
      </w:pPr>
      <w:r w:rsidRPr="004A533F">
        <w:lastRenderedPageBreak/>
        <w:t>Other resource material including general technical information was also used to assess this Application.</w:t>
      </w:r>
    </w:p>
    <w:p w14:paraId="165584AC" w14:textId="77777777" w:rsidR="002C1A3B" w:rsidRPr="002C1A3B" w:rsidRDefault="002C1A3B" w:rsidP="002C1A3B">
      <w:pPr>
        <w:rPr>
          <w:lang w:bidi="ar-SA"/>
        </w:rPr>
      </w:pPr>
    </w:p>
    <w:p w14:paraId="69CF826A" w14:textId="77777777" w:rsidR="002C1A3B" w:rsidRPr="002C1A3B" w:rsidRDefault="002C1A3B" w:rsidP="002C1A3B">
      <w:pPr>
        <w:pStyle w:val="FSBullet1"/>
        <w:rPr>
          <w:b/>
        </w:rPr>
      </w:pPr>
      <w:r w:rsidRPr="002C1A3B">
        <w:rPr>
          <w:b/>
        </w:rPr>
        <w:t>the promotion of consistency between domestic and international food standards</w:t>
      </w:r>
    </w:p>
    <w:p w14:paraId="58CB04BB" w14:textId="77777777" w:rsidR="002C1A3B" w:rsidRPr="002C1A3B" w:rsidRDefault="002C1A3B" w:rsidP="002C1A3B">
      <w:pPr>
        <w:rPr>
          <w:lang w:bidi="ar-SA"/>
        </w:rPr>
      </w:pPr>
    </w:p>
    <w:p w14:paraId="5F23085E" w14:textId="224CC402" w:rsidR="009A31C4" w:rsidRPr="009A31C4" w:rsidRDefault="009A31C4" w:rsidP="009A31C4">
      <w:r w:rsidRPr="009A31C4">
        <w:t xml:space="preserve">The </w:t>
      </w:r>
      <w:r>
        <w:t xml:space="preserve">variation </w:t>
      </w:r>
      <w:r w:rsidRPr="009A31C4">
        <w:t xml:space="preserve">(food additive permission) makes the Australian and New Zealand regulations for the use of propionates in processed meat, poultry and game consistent with an international Codex standard (see </w:t>
      </w:r>
      <w:r w:rsidRPr="001159EB">
        <w:t>Section 1.3.1)</w:t>
      </w:r>
      <w:r w:rsidR="001159EB">
        <w:t>.</w:t>
      </w:r>
    </w:p>
    <w:p w14:paraId="234618C3" w14:textId="77777777" w:rsidR="002C1A3B" w:rsidRPr="002C1A3B" w:rsidRDefault="002C1A3B" w:rsidP="002C1A3B">
      <w:pPr>
        <w:rPr>
          <w:lang w:bidi="ar-SA"/>
        </w:rPr>
      </w:pPr>
    </w:p>
    <w:p w14:paraId="5330BA58" w14:textId="77777777" w:rsidR="002C1A3B" w:rsidRPr="002C1A3B" w:rsidRDefault="002C1A3B" w:rsidP="002C1A3B">
      <w:pPr>
        <w:pStyle w:val="FSBullet1"/>
        <w:rPr>
          <w:b/>
        </w:rPr>
      </w:pPr>
      <w:r w:rsidRPr="002C1A3B">
        <w:rPr>
          <w:b/>
        </w:rPr>
        <w:t>the desirability of an efficient and internationally competitive food industry</w:t>
      </w:r>
    </w:p>
    <w:p w14:paraId="0F69A314" w14:textId="77777777" w:rsidR="002C1A3B" w:rsidRPr="002C1A3B" w:rsidRDefault="002C1A3B" w:rsidP="002C1A3B">
      <w:pPr>
        <w:rPr>
          <w:lang w:bidi="ar-SA"/>
        </w:rPr>
      </w:pPr>
    </w:p>
    <w:p w14:paraId="65993AC6" w14:textId="15B819F0" w:rsidR="009A31C4" w:rsidRPr="009A31C4" w:rsidRDefault="009A31C4" w:rsidP="009A31C4">
      <w:r>
        <w:t xml:space="preserve">The </w:t>
      </w:r>
      <w:r w:rsidRPr="009A31C4">
        <w:t xml:space="preserve">variation is voluntary and as such is not expected to affect the efficiency or competitiveness of Australia and New Zealand’s food industry. </w:t>
      </w:r>
    </w:p>
    <w:p w14:paraId="7AE6D4CB" w14:textId="77777777" w:rsidR="002C1A3B" w:rsidRPr="002C1A3B" w:rsidRDefault="002C1A3B" w:rsidP="002C1A3B">
      <w:pPr>
        <w:rPr>
          <w:lang w:bidi="ar-SA"/>
        </w:rPr>
      </w:pPr>
    </w:p>
    <w:p w14:paraId="047E6251" w14:textId="77777777" w:rsidR="002C1A3B" w:rsidRPr="002C1A3B" w:rsidRDefault="002C1A3B" w:rsidP="002C1A3B">
      <w:pPr>
        <w:pStyle w:val="FSBullet1"/>
        <w:rPr>
          <w:b/>
        </w:rPr>
      </w:pPr>
      <w:r w:rsidRPr="002C1A3B">
        <w:rPr>
          <w:b/>
        </w:rPr>
        <w:t>the promotion of fair trading in food</w:t>
      </w:r>
    </w:p>
    <w:p w14:paraId="7F8E668F" w14:textId="77777777" w:rsidR="002C1A3B" w:rsidRPr="002C1A3B" w:rsidRDefault="002C1A3B" w:rsidP="002C1A3B">
      <w:pPr>
        <w:rPr>
          <w:lang w:bidi="ar-SA"/>
        </w:rPr>
      </w:pPr>
    </w:p>
    <w:p w14:paraId="32FDC07A" w14:textId="7A485829" w:rsidR="009A31C4" w:rsidRPr="009A31C4" w:rsidRDefault="009A31C4" w:rsidP="009A31C4">
      <w:r w:rsidRPr="009A31C4">
        <w:t xml:space="preserve">FSANZ </w:t>
      </w:r>
      <w:r>
        <w:t>did not identify</w:t>
      </w:r>
      <w:r w:rsidRPr="009A31C4">
        <w:t xml:space="preserve"> any relevant issues relating to the promotion of fair trading in food for this Application. </w:t>
      </w:r>
    </w:p>
    <w:p w14:paraId="7369A855" w14:textId="77777777" w:rsidR="002C1A3B" w:rsidRPr="002C1A3B" w:rsidRDefault="002C1A3B" w:rsidP="002C1A3B">
      <w:pPr>
        <w:rPr>
          <w:lang w:bidi="ar-SA"/>
        </w:rPr>
      </w:pPr>
    </w:p>
    <w:p w14:paraId="376BAC22" w14:textId="77777777" w:rsidR="002C1A3B" w:rsidRPr="002C1A3B" w:rsidRDefault="002C1A3B" w:rsidP="002C1A3B">
      <w:pPr>
        <w:pStyle w:val="FSBullet1"/>
        <w:rPr>
          <w:b/>
        </w:rPr>
      </w:pPr>
      <w:r w:rsidRPr="002C1A3B">
        <w:rPr>
          <w:b/>
        </w:rPr>
        <w:t xml:space="preserve">any written policy guidelines formulated by the </w:t>
      </w:r>
      <w:r w:rsidR="00EA2226">
        <w:rPr>
          <w:b/>
        </w:rPr>
        <w:t>Forum on Food Regulation</w:t>
      </w:r>
    </w:p>
    <w:p w14:paraId="38B7535E" w14:textId="77777777" w:rsidR="002C1A3B" w:rsidRPr="002C1A3B" w:rsidRDefault="002C1A3B" w:rsidP="002C1A3B">
      <w:pPr>
        <w:rPr>
          <w:lang w:bidi="ar-SA"/>
        </w:rPr>
      </w:pPr>
    </w:p>
    <w:p w14:paraId="4F278AF7" w14:textId="77777777" w:rsidR="009A31C4" w:rsidRPr="009A31C4" w:rsidRDefault="009A31C4" w:rsidP="009A31C4">
      <w:pPr>
        <w:keepNext/>
        <w:keepLines/>
      </w:pPr>
      <w:bookmarkStart w:id="117" w:name="_Toc11735643"/>
      <w:bookmarkStart w:id="118" w:name="_Toc29883130"/>
      <w:bookmarkStart w:id="119" w:name="_Toc41906817"/>
      <w:bookmarkStart w:id="120" w:name="_Toc41907564"/>
      <w:bookmarkStart w:id="121" w:name="_Toc43112360"/>
      <w:bookmarkEnd w:id="89"/>
      <w:r w:rsidRPr="009A31C4">
        <w:t>The Policy Guideline ‘Addition to Food of Substances other than Vitamins and Minerals’</w:t>
      </w:r>
      <w:r w:rsidRPr="009A31C4">
        <w:rPr>
          <w:vertAlign w:val="superscript"/>
        </w:rPr>
        <w:footnoteReference w:id="9"/>
      </w:r>
      <w:r w:rsidRPr="009A31C4">
        <w:t xml:space="preserve"> includes specific order policy principles for substances added to achieve a solely technological function, such as food additives. These specific order policy principles state that permission should be granted where:</w:t>
      </w:r>
    </w:p>
    <w:p w14:paraId="3B0B0BA2" w14:textId="77777777" w:rsidR="009A31C4" w:rsidRPr="009A31C4" w:rsidRDefault="009A31C4" w:rsidP="009A31C4"/>
    <w:p w14:paraId="31CA20E4" w14:textId="77777777" w:rsidR="009A31C4" w:rsidRPr="009A31C4" w:rsidRDefault="009A31C4" w:rsidP="001159EB">
      <w:pPr>
        <w:pStyle w:val="FSBullet1"/>
      </w:pPr>
      <w:r w:rsidRPr="009A31C4">
        <w:t>the purpose for adding the substance can be articulated clearly by the manufacturer as achieving a solely technological function (i.e. the ‘stated purpose’)</w:t>
      </w:r>
    </w:p>
    <w:p w14:paraId="325C98E8" w14:textId="77777777" w:rsidR="009A31C4" w:rsidRPr="009A31C4" w:rsidRDefault="009A31C4" w:rsidP="001159EB">
      <w:pPr>
        <w:pStyle w:val="FSBullet1"/>
      </w:pPr>
      <w:r w:rsidRPr="009A31C4">
        <w:t>the addition of the substance to food is safe for human consumption</w:t>
      </w:r>
    </w:p>
    <w:p w14:paraId="2562BA19" w14:textId="77777777" w:rsidR="009A31C4" w:rsidRPr="009A31C4" w:rsidRDefault="009A31C4" w:rsidP="001159EB">
      <w:pPr>
        <w:pStyle w:val="FSBullet1"/>
      </w:pPr>
      <w:r w:rsidRPr="009A31C4">
        <w:t>the amounts added are consistent with achieving the technological function</w:t>
      </w:r>
    </w:p>
    <w:p w14:paraId="578A254D" w14:textId="77777777" w:rsidR="009A31C4" w:rsidRPr="009A31C4" w:rsidRDefault="009A31C4" w:rsidP="001159EB">
      <w:pPr>
        <w:pStyle w:val="FSBullet1"/>
      </w:pPr>
      <w:r w:rsidRPr="009A31C4">
        <w:t>the substance is added in a quantity and a form which is consistent with delivering the stated purpose</w:t>
      </w:r>
    </w:p>
    <w:p w14:paraId="69C5DB1A" w14:textId="77777777" w:rsidR="009A31C4" w:rsidRPr="009A31C4" w:rsidRDefault="009A31C4" w:rsidP="001159EB">
      <w:pPr>
        <w:pStyle w:val="FSBullet1"/>
      </w:pPr>
      <w:proofErr w:type="gramStart"/>
      <w:r w:rsidRPr="009A31C4">
        <w:t>no</w:t>
      </w:r>
      <w:proofErr w:type="gramEnd"/>
      <w:r w:rsidRPr="009A31C4">
        <w:t xml:space="preserve"> nutrition, health or related claims are to be made in regard to the substance.</w:t>
      </w:r>
    </w:p>
    <w:p w14:paraId="6673765E" w14:textId="77777777" w:rsidR="009A31C4" w:rsidRPr="009A31C4" w:rsidRDefault="009A31C4" w:rsidP="009A31C4"/>
    <w:p w14:paraId="7690F300" w14:textId="6D9CE527" w:rsidR="009A31C4" w:rsidRPr="009A31C4" w:rsidRDefault="009A31C4" w:rsidP="009A31C4">
      <w:r>
        <w:t xml:space="preserve">FSANZ </w:t>
      </w:r>
      <w:r w:rsidRPr="009A31C4">
        <w:t xml:space="preserve">determined that extending the use of propionates to processed meat, poultry and game products under GMP conditions, </w:t>
      </w:r>
      <w:r w:rsidRPr="009A31C4">
        <w:rPr>
          <w:rFonts w:cs="Arial"/>
        </w:rPr>
        <w:t xml:space="preserve">as </w:t>
      </w:r>
      <w:r w:rsidRPr="009A31C4">
        <w:rPr>
          <w:rFonts w:eastAsia="Calibri" w:cs="Arial"/>
          <w:bCs/>
          <w:szCs w:val="22"/>
          <w:lang w:val="en-AU" w:bidi="ar-SA"/>
        </w:rPr>
        <w:t>anti-microbial</w:t>
      </w:r>
      <w:r w:rsidRPr="009A31C4">
        <w:rPr>
          <w:rFonts w:cs="Arial"/>
        </w:rPr>
        <w:t xml:space="preserve"> preservatives, </w:t>
      </w:r>
      <w:r w:rsidRPr="009A31C4">
        <w:t xml:space="preserve">is consistent with these specific order policy principles.  </w:t>
      </w:r>
    </w:p>
    <w:p w14:paraId="31720C07" w14:textId="77777777" w:rsidR="0012388D" w:rsidRDefault="00D15A08" w:rsidP="006C22A7">
      <w:pPr>
        <w:spacing w:before="240"/>
        <w:rPr>
          <w:b/>
          <w:sz w:val="28"/>
          <w:szCs w:val="28"/>
        </w:rPr>
      </w:pPr>
      <w:r w:rsidRPr="006C22A7">
        <w:rPr>
          <w:b/>
          <w:sz w:val="28"/>
          <w:szCs w:val="28"/>
        </w:rPr>
        <w:t>A</w:t>
      </w:r>
      <w:bookmarkEnd w:id="117"/>
      <w:bookmarkEnd w:id="118"/>
      <w:bookmarkEnd w:id="119"/>
      <w:bookmarkEnd w:id="120"/>
      <w:bookmarkEnd w:id="121"/>
      <w:r w:rsidR="00B21055">
        <w:rPr>
          <w:b/>
          <w:sz w:val="28"/>
          <w:szCs w:val="28"/>
        </w:rPr>
        <w:t>ttachments</w:t>
      </w:r>
    </w:p>
    <w:p w14:paraId="7F4444A0" w14:textId="77777777" w:rsidR="006C22A7" w:rsidRDefault="006C22A7" w:rsidP="00755F02"/>
    <w:p w14:paraId="7909B764" w14:textId="3F731887" w:rsidR="00795D86" w:rsidRDefault="00755F02" w:rsidP="00456BD5">
      <w:pPr>
        <w:ind w:left="567" w:hanging="567"/>
      </w:pPr>
      <w:r>
        <w:t>A.</w:t>
      </w:r>
      <w:r>
        <w:tab/>
      </w:r>
      <w:r w:rsidR="009A2699" w:rsidRPr="009A2699">
        <w:t xml:space="preserve">Approved </w:t>
      </w:r>
      <w:r w:rsidR="00E47D3B">
        <w:t xml:space="preserve">draft </w:t>
      </w:r>
      <w:r w:rsidR="000576EB">
        <w:t>variation to the</w:t>
      </w:r>
      <w:r w:rsidR="005E06C0">
        <w:t xml:space="preserve"> </w:t>
      </w:r>
      <w:r w:rsidR="000576EB" w:rsidRPr="000576EB">
        <w:rPr>
          <w:i/>
        </w:rPr>
        <w:t xml:space="preserve">Australia New </w:t>
      </w:r>
      <w:r w:rsidR="000576EB">
        <w:rPr>
          <w:i/>
        </w:rPr>
        <w:t>Zealand Food Sta</w:t>
      </w:r>
      <w:r w:rsidR="000576EB" w:rsidRPr="000576EB">
        <w:rPr>
          <w:i/>
        </w:rPr>
        <w:t>n</w:t>
      </w:r>
      <w:r w:rsidR="000576EB">
        <w:rPr>
          <w:i/>
        </w:rPr>
        <w:t>d</w:t>
      </w:r>
      <w:r w:rsidR="000576EB" w:rsidRPr="000576EB">
        <w:rPr>
          <w:i/>
        </w:rPr>
        <w:t>ards Code</w:t>
      </w:r>
      <w:r w:rsidR="005E06C0">
        <w:rPr>
          <w:i/>
        </w:rPr>
        <w:t xml:space="preserve"> </w:t>
      </w:r>
    </w:p>
    <w:p w14:paraId="04CD6E8B" w14:textId="77777777" w:rsidR="00456BD5" w:rsidRDefault="00456BD5" w:rsidP="00456BD5">
      <w:pPr>
        <w:ind w:left="567" w:hanging="567"/>
      </w:pPr>
      <w:r w:rsidRPr="00456BD5">
        <w:t>B</w:t>
      </w:r>
      <w:r w:rsidR="00755F02" w:rsidRPr="00456BD5">
        <w:t>.</w:t>
      </w:r>
      <w:r w:rsidR="00755F02" w:rsidRPr="00456BD5">
        <w:tab/>
      </w:r>
      <w:r>
        <w:t xml:space="preserve">Explanatory Statement </w:t>
      </w:r>
    </w:p>
    <w:p w14:paraId="3B2BA2D1" w14:textId="6BB80DAE" w:rsidR="00456BD5" w:rsidRPr="00456BD5" w:rsidRDefault="003C4969" w:rsidP="00456BD5">
      <w:pPr>
        <w:pStyle w:val="Heading2"/>
        <w:ind w:left="0" w:firstLine="0"/>
      </w:pPr>
      <w:r w:rsidRPr="00932F14">
        <w:br w:type="page"/>
      </w:r>
      <w:bookmarkStart w:id="122" w:name="_Toc29883131"/>
      <w:bookmarkStart w:id="123" w:name="_Toc41906818"/>
      <w:bookmarkStart w:id="124" w:name="_Toc41907565"/>
      <w:bookmarkStart w:id="125" w:name="_Toc120358596"/>
      <w:bookmarkStart w:id="126" w:name="_Toc175381458"/>
      <w:bookmarkStart w:id="127" w:name="_Toc11735644"/>
      <w:bookmarkStart w:id="128" w:name="_Toc460941283"/>
      <w:r w:rsidRPr="00932F14">
        <w:lastRenderedPageBreak/>
        <w:t xml:space="preserve">Attachment </w:t>
      </w:r>
      <w:bookmarkEnd w:id="122"/>
      <w:bookmarkEnd w:id="123"/>
      <w:bookmarkEnd w:id="124"/>
      <w:bookmarkEnd w:id="125"/>
      <w:bookmarkEnd w:id="126"/>
      <w:r w:rsidR="00456B54">
        <w:t>A</w:t>
      </w:r>
      <w:bookmarkStart w:id="129" w:name="_Toc120358597"/>
      <w:bookmarkStart w:id="130" w:name="_Toc175381459"/>
      <w:bookmarkEnd w:id="127"/>
      <w:r w:rsidR="00755F02">
        <w:t xml:space="preserve"> –</w:t>
      </w:r>
      <w:bookmarkStart w:id="131" w:name="_Toc120358598"/>
      <w:bookmarkStart w:id="132" w:name="_Toc175381460"/>
      <w:bookmarkEnd w:id="129"/>
      <w:bookmarkEnd w:id="130"/>
      <w:r w:rsidR="005E06C0">
        <w:t xml:space="preserve"> </w:t>
      </w:r>
      <w:r w:rsidR="00456BD5">
        <w:t>Approved</w:t>
      </w:r>
      <w:r w:rsidR="00456BD5" w:rsidRPr="00932F14">
        <w:t xml:space="preserve"> </w:t>
      </w:r>
      <w:r w:rsidR="00456BD5">
        <w:t xml:space="preserve">draft </w:t>
      </w:r>
      <w:r w:rsidR="00456BD5" w:rsidRPr="00932F14">
        <w:t>variation to the</w:t>
      </w:r>
      <w:r w:rsidR="00456BD5" w:rsidRPr="00755F02">
        <w:t xml:space="preserve"> </w:t>
      </w:r>
      <w:r w:rsidR="00456BD5" w:rsidRPr="00795D86">
        <w:rPr>
          <w:i/>
        </w:rPr>
        <w:t>Australia New Zealand Food Standards Code</w:t>
      </w:r>
      <w:bookmarkEnd w:id="128"/>
      <w:r w:rsidR="00456BD5">
        <w:rPr>
          <w:i/>
        </w:rPr>
        <w:t xml:space="preserve"> </w:t>
      </w:r>
    </w:p>
    <w:p w14:paraId="4F3B68B0" w14:textId="77777777" w:rsidR="0023073E" w:rsidRPr="00F96E7F" w:rsidRDefault="0023073E" w:rsidP="0023073E">
      <w:pPr>
        <w:tabs>
          <w:tab w:val="left" w:pos="851"/>
        </w:tabs>
        <w:rPr>
          <w:noProof/>
          <w:sz w:val="20"/>
          <w:szCs w:val="20"/>
          <w:lang w:val="en-AU" w:eastAsia="en-AU" w:bidi="ar-SA"/>
        </w:rPr>
      </w:pPr>
      <w:r w:rsidRPr="00F96E7F">
        <w:rPr>
          <w:noProof/>
          <w:sz w:val="20"/>
          <w:szCs w:val="20"/>
          <w:lang w:eastAsia="en-GB" w:bidi="ar-SA"/>
        </w:rPr>
        <w:drawing>
          <wp:inline distT="0" distB="0" distL="0" distR="0" wp14:anchorId="242AC7A9" wp14:editId="183A5BFD">
            <wp:extent cx="2657475" cy="438150"/>
            <wp:effectExtent l="0" t="0" r="9525" b="0"/>
            <wp:docPr id="3" name="Picture 1"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7475" cy="438150"/>
                    </a:xfrm>
                    <a:prstGeom prst="rect">
                      <a:avLst/>
                    </a:prstGeom>
                    <a:noFill/>
                    <a:ln>
                      <a:noFill/>
                    </a:ln>
                  </pic:spPr>
                </pic:pic>
              </a:graphicData>
            </a:graphic>
          </wp:inline>
        </w:drawing>
      </w:r>
    </w:p>
    <w:p w14:paraId="352BFCC2" w14:textId="77777777" w:rsidR="0023073E" w:rsidRPr="00F96E7F" w:rsidRDefault="0023073E" w:rsidP="0023073E">
      <w:pPr>
        <w:pBdr>
          <w:bottom w:val="single" w:sz="4" w:space="1" w:color="auto"/>
        </w:pBdr>
        <w:tabs>
          <w:tab w:val="left" w:pos="851"/>
        </w:tabs>
        <w:rPr>
          <w:b/>
          <w:bCs/>
          <w:szCs w:val="20"/>
          <w:lang w:bidi="ar-SA"/>
        </w:rPr>
      </w:pPr>
    </w:p>
    <w:p w14:paraId="738C69A0" w14:textId="77777777" w:rsidR="0023073E" w:rsidRPr="00F96E7F" w:rsidRDefault="0023073E" w:rsidP="0023073E">
      <w:pPr>
        <w:pBdr>
          <w:bottom w:val="single" w:sz="4" w:space="1" w:color="auto"/>
        </w:pBdr>
        <w:tabs>
          <w:tab w:val="left" w:pos="851"/>
        </w:tabs>
        <w:rPr>
          <w:b/>
          <w:sz w:val="20"/>
          <w:szCs w:val="20"/>
          <w:lang w:bidi="ar-SA"/>
        </w:rPr>
      </w:pPr>
      <w:r w:rsidRPr="00F96E7F">
        <w:rPr>
          <w:b/>
          <w:sz w:val="20"/>
          <w:szCs w:val="20"/>
          <w:lang w:bidi="ar-SA"/>
        </w:rPr>
        <w:t>Food Standards (Application A1113 – Extension of use of Propionates in Processed Meat) Variation</w:t>
      </w:r>
    </w:p>
    <w:p w14:paraId="6CBD2671" w14:textId="77777777" w:rsidR="0023073E" w:rsidRPr="00F96E7F" w:rsidRDefault="0023073E" w:rsidP="0023073E">
      <w:pPr>
        <w:pBdr>
          <w:bottom w:val="single" w:sz="4" w:space="1" w:color="auto"/>
        </w:pBdr>
        <w:tabs>
          <w:tab w:val="left" w:pos="851"/>
        </w:tabs>
        <w:rPr>
          <w:b/>
          <w:sz w:val="20"/>
          <w:szCs w:val="20"/>
          <w:lang w:bidi="ar-SA"/>
        </w:rPr>
      </w:pPr>
    </w:p>
    <w:p w14:paraId="2F78BEE7" w14:textId="77777777" w:rsidR="0023073E" w:rsidRPr="00F96E7F" w:rsidRDefault="0023073E" w:rsidP="0023073E">
      <w:pPr>
        <w:tabs>
          <w:tab w:val="left" w:pos="851"/>
        </w:tabs>
        <w:rPr>
          <w:sz w:val="20"/>
          <w:szCs w:val="20"/>
          <w:lang w:bidi="ar-SA"/>
        </w:rPr>
      </w:pPr>
    </w:p>
    <w:p w14:paraId="46407584" w14:textId="77777777" w:rsidR="0023073E" w:rsidRPr="00F96E7F" w:rsidRDefault="0023073E" w:rsidP="0023073E">
      <w:pPr>
        <w:tabs>
          <w:tab w:val="left" w:pos="851"/>
        </w:tabs>
        <w:rPr>
          <w:sz w:val="20"/>
          <w:szCs w:val="20"/>
          <w:lang w:bidi="ar-SA"/>
        </w:rPr>
      </w:pPr>
      <w:r w:rsidRPr="00F96E7F">
        <w:rPr>
          <w:sz w:val="20"/>
          <w:szCs w:val="20"/>
          <w:lang w:bidi="ar-SA"/>
        </w:rPr>
        <w:t xml:space="preserve">The Board of Food Standards Australia New Zealand gives notice of the making of this variation under section 92 of the </w:t>
      </w:r>
      <w:r w:rsidRPr="00F96E7F">
        <w:rPr>
          <w:i/>
          <w:sz w:val="20"/>
          <w:szCs w:val="20"/>
          <w:lang w:bidi="ar-SA"/>
        </w:rPr>
        <w:t>Food Standards Australia New Zealand Act 1991</w:t>
      </w:r>
      <w:r w:rsidRPr="00F96E7F">
        <w:rPr>
          <w:sz w:val="20"/>
          <w:szCs w:val="20"/>
          <w:lang w:bidi="ar-SA"/>
        </w:rPr>
        <w:t>.  The variation commences on the date specified in clause 3 of this variation.</w:t>
      </w:r>
    </w:p>
    <w:p w14:paraId="31E91B60" w14:textId="77777777" w:rsidR="0023073E" w:rsidRPr="00F96E7F" w:rsidRDefault="0023073E" w:rsidP="0023073E">
      <w:pPr>
        <w:tabs>
          <w:tab w:val="left" w:pos="851"/>
        </w:tabs>
        <w:rPr>
          <w:sz w:val="20"/>
          <w:szCs w:val="20"/>
          <w:lang w:bidi="ar-SA"/>
        </w:rPr>
      </w:pPr>
    </w:p>
    <w:p w14:paraId="56CC0438" w14:textId="77777777" w:rsidR="0023073E" w:rsidRPr="00F96E7F" w:rsidRDefault="0023073E" w:rsidP="0023073E">
      <w:pPr>
        <w:tabs>
          <w:tab w:val="left" w:pos="851"/>
        </w:tabs>
        <w:rPr>
          <w:sz w:val="20"/>
          <w:szCs w:val="20"/>
          <w:lang w:bidi="ar-SA"/>
        </w:rPr>
      </w:pPr>
      <w:r w:rsidRPr="00F96E7F">
        <w:rPr>
          <w:sz w:val="20"/>
          <w:szCs w:val="20"/>
          <w:lang w:bidi="ar-SA"/>
        </w:rPr>
        <w:t>Dated [To be completed by Standards Management Officer]</w:t>
      </w:r>
    </w:p>
    <w:p w14:paraId="6BCACA15" w14:textId="77777777" w:rsidR="0023073E" w:rsidRPr="00F96E7F" w:rsidRDefault="0023073E" w:rsidP="0023073E">
      <w:pPr>
        <w:tabs>
          <w:tab w:val="left" w:pos="851"/>
        </w:tabs>
        <w:rPr>
          <w:sz w:val="20"/>
          <w:szCs w:val="20"/>
          <w:lang w:bidi="ar-SA"/>
        </w:rPr>
      </w:pPr>
    </w:p>
    <w:p w14:paraId="5DB77D7D" w14:textId="77777777" w:rsidR="0023073E" w:rsidRPr="00F96E7F" w:rsidRDefault="0023073E" w:rsidP="0023073E">
      <w:pPr>
        <w:tabs>
          <w:tab w:val="left" w:pos="851"/>
        </w:tabs>
        <w:rPr>
          <w:sz w:val="20"/>
          <w:szCs w:val="20"/>
          <w:lang w:bidi="ar-SA"/>
        </w:rPr>
      </w:pPr>
    </w:p>
    <w:p w14:paraId="635619F9" w14:textId="77777777" w:rsidR="0023073E" w:rsidRPr="00F96E7F" w:rsidRDefault="0023073E" w:rsidP="0023073E">
      <w:pPr>
        <w:tabs>
          <w:tab w:val="left" w:pos="851"/>
        </w:tabs>
        <w:rPr>
          <w:sz w:val="20"/>
          <w:szCs w:val="20"/>
          <w:lang w:bidi="ar-SA"/>
        </w:rPr>
      </w:pPr>
    </w:p>
    <w:p w14:paraId="792F3F11" w14:textId="77777777" w:rsidR="0023073E" w:rsidRPr="00F96E7F" w:rsidRDefault="0023073E" w:rsidP="0023073E">
      <w:pPr>
        <w:tabs>
          <w:tab w:val="left" w:pos="851"/>
        </w:tabs>
        <w:rPr>
          <w:sz w:val="20"/>
          <w:szCs w:val="20"/>
          <w:lang w:bidi="ar-SA"/>
        </w:rPr>
      </w:pPr>
    </w:p>
    <w:p w14:paraId="249378AC" w14:textId="77777777" w:rsidR="0023073E" w:rsidRPr="00F96E7F" w:rsidRDefault="0023073E" w:rsidP="0023073E">
      <w:pPr>
        <w:tabs>
          <w:tab w:val="left" w:pos="851"/>
        </w:tabs>
        <w:rPr>
          <w:sz w:val="20"/>
          <w:szCs w:val="20"/>
          <w:lang w:bidi="ar-SA"/>
        </w:rPr>
      </w:pPr>
    </w:p>
    <w:p w14:paraId="48891DF3" w14:textId="77777777" w:rsidR="0023073E" w:rsidRPr="00F96E7F" w:rsidRDefault="0023073E" w:rsidP="0023073E">
      <w:pPr>
        <w:tabs>
          <w:tab w:val="left" w:pos="851"/>
        </w:tabs>
        <w:rPr>
          <w:sz w:val="20"/>
          <w:szCs w:val="20"/>
          <w:lang w:bidi="ar-SA"/>
        </w:rPr>
      </w:pPr>
      <w:r w:rsidRPr="00F96E7F">
        <w:rPr>
          <w:sz w:val="20"/>
          <w:szCs w:val="20"/>
          <w:lang w:bidi="ar-SA"/>
        </w:rPr>
        <w:t>Standards Management Officer</w:t>
      </w:r>
    </w:p>
    <w:p w14:paraId="4F4EC759" w14:textId="77777777" w:rsidR="0023073E" w:rsidRPr="00F96E7F" w:rsidRDefault="0023073E" w:rsidP="0023073E">
      <w:pPr>
        <w:tabs>
          <w:tab w:val="left" w:pos="851"/>
        </w:tabs>
        <w:rPr>
          <w:sz w:val="20"/>
          <w:szCs w:val="20"/>
          <w:lang w:bidi="ar-SA"/>
        </w:rPr>
      </w:pPr>
      <w:r w:rsidRPr="00F96E7F">
        <w:rPr>
          <w:sz w:val="20"/>
          <w:szCs w:val="20"/>
          <w:lang w:bidi="ar-SA"/>
        </w:rPr>
        <w:t>Delegate of the Board of Food Standards Australia New Zealand</w:t>
      </w:r>
    </w:p>
    <w:p w14:paraId="1C427388" w14:textId="77777777" w:rsidR="0023073E" w:rsidRPr="00F96E7F" w:rsidRDefault="0023073E" w:rsidP="0023073E">
      <w:pPr>
        <w:tabs>
          <w:tab w:val="left" w:pos="851"/>
        </w:tabs>
        <w:rPr>
          <w:sz w:val="20"/>
          <w:szCs w:val="20"/>
          <w:lang w:bidi="ar-SA"/>
        </w:rPr>
      </w:pPr>
    </w:p>
    <w:p w14:paraId="3C56E5D9" w14:textId="77777777" w:rsidR="0023073E" w:rsidRPr="00F96E7F" w:rsidRDefault="0023073E" w:rsidP="0023073E">
      <w:pPr>
        <w:tabs>
          <w:tab w:val="left" w:pos="851"/>
        </w:tabs>
        <w:rPr>
          <w:sz w:val="20"/>
          <w:szCs w:val="20"/>
          <w:lang w:bidi="ar-SA"/>
        </w:rPr>
      </w:pPr>
    </w:p>
    <w:p w14:paraId="6CBC8D92" w14:textId="77777777" w:rsidR="0023073E" w:rsidRPr="00F96E7F" w:rsidRDefault="0023073E" w:rsidP="0023073E">
      <w:pPr>
        <w:tabs>
          <w:tab w:val="left" w:pos="851"/>
        </w:tabs>
        <w:rPr>
          <w:sz w:val="20"/>
          <w:szCs w:val="20"/>
          <w:lang w:bidi="ar-SA"/>
        </w:rPr>
      </w:pPr>
    </w:p>
    <w:p w14:paraId="18900EC8" w14:textId="77777777" w:rsidR="0023073E" w:rsidRPr="00F96E7F" w:rsidRDefault="0023073E" w:rsidP="0023073E">
      <w:pPr>
        <w:tabs>
          <w:tab w:val="left" w:pos="851"/>
        </w:tabs>
        <w:rPr>
          <w:sz w:val="20"/>
          <w:szCs w:val="20"/>
          <w:lang w:bidi="ar-SA"/>
        </w:rPr>
      </w:pPr>
    </w:p>
    <w:p w14:paraId="6993C1FB" w14:textId="77777777" w:rsidR="0023073E" w:rsidRPr="00F96E7F" w:rsidRDefault="0023073E" w:rsidP="0023073E">
      <w:pPr>
        <w:tabs>
          <w:tab w:val="left" w:pos="851"/>
        </w:tabs>
        <w:rPr>
          <w:sz w:val="20"/>
          <w:szCs w:val="20"/>
          <w:lang w:bidi="ar-SA"/>
        </w:rPr>
      </w:pPr>
    </w:p>
    <w:p w14:paraId="6485A448" w14:textId="77777777" w:rsidR="0023073E" w:rsidRPr="00F96E7F" w:rsidRDefault="0023073E" w:rsidP="0023073E">
      <w:pPr>
        <w:pBdr>
          <w:top w:val="single" w:sz="4" w:space="1" w:color="auto"/>
          <w:left w:val="single" w:sz="4" w:space="4" w:color="auto"/>
          <w:bottom w:val="single" w:sz="4" w:space="1" w:color="auto"/>
          <w:right w:val="single" w:sz="4" w:space="4" w:color="auto"/>
        </w:pBdr>
        <w:tabs>
          <w:tab w:val="left" w:pos="851"/>
        </w:tabs>
        <w:rPr>
          <w:b/>
          <w:sz w:val="20"/>
          <w:szCs w:val="20"/>
          <w:lang w:val="en-AU" w:bidi="ar-SA"/>
        </w:rPr>
      </w:pPr>
      <w:r w:rsidRPr="00F96E7F">
        <w:rPr>
          <w:b/>
          <w:sz w:val="20"/>
          <w:szCs w:val="20"/>
          <w:lang w:val="en-AU" w:bidi="ar-SA"/>
        </w:rPr>
        <w:t xml:space="preserve">Note:  </w:t>
      </w:r>
    </w:p>
    <w:p w14:paraId="75FC3FC9" w14:textId="77777777" w:rsidR="0023073E" w:rsidRPr="00F96E7F" w:rsidRDefault="0023073E" w:rsidP="0023073E">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p>
    <w:p w14:paraId="6927F5DB" w14:textId="77777777" w:rsidR="0023073E" w:rsidRPr="00F96E7F" w:rsidRDefault="0023073E" w:rsidP="0023073E">
      <w:pPr>
        <w:pBdr>
          <w:top w:val="single" w:sz="4" w:space="1" w:color="auto"/>
          <w:left w:val="single" w:sz="4" w:space="4" w:color="auto"/>
          <w:bottom w:val="single" w:sz="4" w:space="1" w:color="auto"/>
          <w:right w:val="single" w:sz="4" w:space="4" w:color="auto"/>
        </w:pBdr>
        <w:tabs>
          <w:tab w:val="left" w:pos="851"/>
        </w:tabs>
        <w:rPr>
          <w:sz w:val="20"/>
          <w:szCs w:val="20"/>
          <w:lang w:val="en-AU" w:bidi="ar-SA"/>
        </w:rPr>
      </w:pPr>
      <w:r w:rsidRPr="00F96E7F">
        <w:rPr>
          <w:sz w:val="20"/>
          <w:szCs w:val="20"/>
          <w:lang w:val="en-AU" w:bidi="ar-SA"/>
        </w:rPr>
        <w:t xml:space="preserve">This variation will be published in the Commonwealth of Australia Gazette No. </w:t>
      </w:r>
      <w:proofErr w:type="gramStart"/>
      <w:r w:rsidRPr="00F96E7F">
        <w:rPr>
          <w:sz w:val="20"/>
          <w:szCs w:val="20"/>
          <w:lang w:val="en-AU" w:bidi="ar-SA"/>
        </w:rPr>
        <w:t xml:space="preserve">FSC </w:t>
      </w:r>
      <w:r w:rsidRPr="00F96E7F">
        <w:rPr>
          <w:color w:val="FF0000"/>
          <w:sz w:val="20"/>
          <w:szCs w:val="20"/>
          <w:lang w:val="en-AU" w:bidi="ar-SA"/>
        </w:rPr>
        <w:t>XX on XX Month 20XX</w:t>
      </w:r>
      <w:r w:rsidRPr="00F96E7F">
        <w:rPr>
          <w:sz w:val="20"/>
          <w:szCs w:val="20"/>
          <w:lang w:val="en-AU" w:bidi="ar-SA"/>
        </w:rPr>
        <w:t>.</w:t>
      </w:r>
      <w:proofErr w:type="gramEnd"/>
      <w:r w:rsidRPr="00F96E7F">
        <w:rPr>
          <w:sz w:val="20"/>
          <w:szCs w:val="20"/>
          <w:lang w:val="en-AU" w:bidi="ar-SA"/>
        </w:rPr>
        <w:t xml:space="preserve"> This means that this date is the gazettal date for the purposes of clause 3 of the variation. </w:t>
      </w:r>
    </w:p>
    <w:p w14:paraId="3D0FCBB8" w14:textId="77777777" w:rsidR="0023073E" w:rsidRPr="00F96E7F" w:rsidRDefault="0023073E" w:rsidP="0023073E">
      <w:pPr>
        <w:tabs>
          <w:tab w:val="left" w:pos="851"/>
        </w:tabs>
        <w:rPr>
          <w:sz w:val="20"/>
          <w:szCs w:val="20"/>
          <w:lang w:bidi="ar-SA"/>
        </w:rPr>
      </w:pPr>
    </w:p>
    <w:p w14:paraId="220720AC" w14:textId="77777777" w:rsidR="0023073E" w:rsidRPr="00F96E7F" w:rsidRDefault="0023073E" w:rsidP="0023073E">
      <w:pPr>
        <w:widowControl/>
        <w:rPr>
          <w:sz w:val="20"/>
          <w:szCs w:val="20"/>
          <w:lang w:bidi="ar-SA"/>
        </w:rPr>
      </w:pPr>
      <w:r w:rsidRPr="00F96E7F">
        <w:rPr>
          <w:sz w:val="20"/>
          <w:szCs w:val="20"/>
          <w:lang w:bidi="ar-SA"/>
        </w:rPr>
        <w:br w:type="page"/>
      </w:r>
    </w:p>
    <w:p w14:paraId="067D1D43" w14:textId="77777777" w:rsidR="0023073E" w:rsidRPr="00F96E7F" w:rsidRDefault="0023073E" w:rsidP="0023073E">
      <w:pPr>
        <w:spacing w:before="120" w:after="120"/>
        <w:ind w:left="851" w:hanging="851"/>
        <w:rPr>
          <w:b/>
          <w:sz w:val="20"/>
          <w:szCs w:val="20"/>
          <w:lang w:bidi="ar-SA"/>
        </w:rPr>
      </w:pPr>
      <w:r w:rsidRPr="00F96E7F">
        <w:rPr>
          <w:b/>
          <w:sz w:val="20"/>
          <w:szCs w:val="20"/>
          <w:lang w:bidi="ar-SA"/>
        </w:rPr>
        <w:lastRenderedPageBreak/>
        <w:t>1</w:t>
      </w:r>
      <w:r w:rsidRPr="00F96E7F">
        <w:rPr>
          <w:b/>
          <w:sz w:val="20"/>
          <w:szCs w:val="20"/>
          <w:lang w:bidi="ar-SA"/>
        </w:rPr>
        <w:tab/>
        <w:t>Name</w:t>
      </w:r>
    </w:p>
    <w:p w14:paraId="08D83E5A" w14:textId="77777777" w:rsidR="0023073E" w:rsidRPr="00F96E7F" w:rsidRDefault="0023073E" w:rsidP="0023073E">
      <w:pPr>
        <w:widowControl/>
        <w:tabs>
          <w:tab w:val="left" w:pos="851"/>
        </w:tabs>
        <w:spacing w:before="120" w:after="120"/>
        <w:rPr>
          <w:sz w:val="20"/>
          <w:szCs w:val="20"/>
          <w:lang w:bidi="ar-SA"/>
        </w:rPr>
      </w:pPr>
      <w:r w:rsidRPr="00F96E7F">
        <w:rPr>
          <w:sz w:val="20"/>
          <w:szCs w:val="20"/>
          <w:lang w:bidi="ar-SA"/>
        </w:rPr>
        <w:t xml:space="preserve">This instrument is the </w:t>
      </w:r>
      <w:r w:rsidRPr="00F96E7F">
        <w:rPr>
          <w:i/>
          <w:sz w:val="20"/>
          <w:szCs w:val="20"/>
          <w:lang w:bidi="ar-SA"/>
        </w:rPr>
        <w:t>Food Standards (Application A1113 – Extension of use of Propionates in Processed Meat) Variation</w:t>
      </w:r>
      <w:r w:rsidRPr="00F96E7F">
        <w:rPr>
          <w:sz w:val="20"/>
          <w:szCs w:val="20"/>
          <w:lang w:bidi="ar-SA"/>
        </w:rPr>
        <w:t>.</w:t>
      </w:r>
    </w:p>
    <w:p w14:paraId="6ADCC036" w14:textId="77777777" w:rsidR="0023073E" w:rsidRPr="00F96E7F" w:rsidRDefault="0023073E" w:rsidP="0023073E">
      <w:pPr>
        <w:spacing w:before="120" w:after="120"/>
        <w:ind w:left="851" w:hanging="851"/>
        <w:rPr>
          <w:b/>
          <w:sz w:val="20"/>
          <w:szCs w:val="20"/>
          <w:lang w:bidi="ar-SA"/>
        </w:rPr>
      </w:pPr>
      <w:r w:rsidRPr="00F96E7F">
        <w:rPr>
          <w:b/>
          <w:sz w:val="20"/>
          <w:szCs w:val="20"/>
          <w:lang w:bidi="ar-SA"/>
        </w:rPr>
        <w:t>2</w:t>
      </w:r>
      <w:r w:rsidRPr="00F96E7F">
        <w:rPr>
          <w:b/>
          <w:sz w:val="20"/>
          <w:szCs w:val="20"/>
          <w:lang w:bidi="ar-SA"/>
        </w:rPr>
        <w:tab/>
        <w:t xml:space="preserve">Variation to a standard in the </w:t>
      </w:r>
      <w:r w:rsidRPr="00F96E7F">
        <w:rPr>
          <w:b/>
          <w:i/>
          <w:sz w:val="20"/>
          <w:szCs w:val="20"/>
          <w:lang w:bidi="ar-SA"/>
        </w:rPr>
        <w:t>Australia New Zealand Food Standards Code</w:t>
      </w:r>
    </w:p>
    <w:p w14:paraId="31C6B654" w14:textId="18EA6320" w:rsidR="0023073E" w:rsidRPr="00F96E7F" w:rsidRDefault="0023073E" w:rsidP="0023073E">
      <w:pPr>
        <w:widowControl/>
        <w:tabs>
          <w:tab w:val="left" w:pos="851"/>
        </w:tabs>
        <w:spacing w:before="120" w:after="120"/>
        <w:rPr>
          <w:sz w:val="20"/>
          <w:szCs w:val="20"/>
          <w:lang w:bidi="ar-SA"/>
        </w:rPr>
      </w:pPr>
      <w:r w:rsidRPr="00F96E7F">
        <w:rPr>
          <w:sz w:val="20"/>
          <w:szCs w:val="20"/>
          <w:lang w:bidi="ar-SA"/>
        </w:rPr>
        <w:t xml:space="preserve">The Schedule varies a standard in the </w:t>
      </w:r>
      <w:r w:rsidRPr="00F96E7F">
        <w:rPr>
          <w:i/>
          <w:sz w:val="20"/>
          <w:szCs w:val="20"/>
          <w:lang w:bidi="ar-SA"/>
        </w:rPr>
        <w:t>Australia New Zealand Food Standards Code</w:t>
      </w:r>
      <w:r w:rsidRPr="00F96E7F">
        <w:rPr>
          <w:sz w:val="20"/>
          <w:szCs w:val="20"/>
          <w:lang w:bidi="ar-SA"/>
        </w:rPr>
        <w:t>.</w:t>
      </w:r>
    </w:p>
    <w:p w14:paraId="2F4D7EC5" w14:textId="77777777" w:rsidR="0023073E" w:rsidRPr="00F96E7F" w:rsidRDefault="0023073E" w:rsidP="0023073E">
      <w:pPr>
        <w:spacing w:before="120" w:after="120"/>
        <w:ind w:left="851" w:hanging="851"/>
        <w:rPr>
          <w:b/>
          <w:sz w:val="20"/>
          <w:szCs w:val="20"/>
          <w:lang w:bidi="ar-SA"/>
        </w:rPr>
      </w:pPr>
      <w:r w:rsidRPr="00F96E7F">
        <w:rPr>
          <w:b/>
          <w:sz w:val="20"/>
          <w:szCs w:val="20"/>
          <w:lang w:bidi="ar-SA"/>
        </w:rPr>
        <w:t>3</w:t>
      </w:r>
      <w:r w:rsidRPr="00F96E7F">
        <w:rPr>
          <w:b/>
          <w:sz w:val="20"/>
          <w:szCs w:val="20"/>
          <w:lang w:bidi="ar-SA"/>
        </w:rPr>
        <w:tab/>
        <w:t>Commencement</w:t>
      </w:r>
    </w:p>
    <w:p w14:paraId="4B0525A1" w14:textId="77777777" w:rsidR="0023073E" w:rsidRPr="00F96E7F" w:rsidRDefault="0023073E" w:rsidP="0023073E">
      <w:pPr>
        <w:widowControl/>
        <w:tabs>
          <w:tab w:val="left" w:pos="851"/>
        </w:tabs>
        <w:spacing w:before="120" w:after="120"/>
        <w:rPr>
          <w:sz w:val="20"/>
          <w:szCs w:val="20"/>
          <w:lang w:bidi="ar-SA"/>
        </w:rPr>
      </w:pPr>
      <w:r w:rsidRPr="00F96E7F">
        <w:rPr>
          <w:sz w:val="20"/>
          <w:szCs w:val="20"/>
          <w:lang w:bidi="ar-SA"/>
        </w:rPr>
        <w:t>The variations commence on the date of gazettal.</w:t>
      </w:r>
    </w:p>
    <w:p w14:paraId="1F817811" w14:textId="77777777" w:rsidR="0023073E" w:rsidRPr="00F96E7F" w:rsidRDefault="0023073E" w:rsidP="0023073E">
      <w:pPr>
        <w:tabs>
          <w:tab w:val="left" w:pos="851"/>
        </w:tabs>
        <w:jc w:val="center"/>
        <w:rPr>
          <w:b/>
          <w:sz w:val="20"/>
          <w:szCs w:val="20"/>
          <w:lang w:bidi="ar-SA"/>
        </w:rPr>
      </w:pPr>
      <w:r w:rsidRPr="00F96E7F">
        <w:rPr>
          <w:b/>
          <w:sz w:val="20"/>
          <w:szCs w:val="20"/>
          <w:lang w:bidi="ar-SA"/>
        </w:rPr>
        <w:t>Schedule</w:t>
      </w:r>
    </w:p>
    <w:p w14:paraId="111D273E" w14:textId="1F7C9C5F" w:rsidR="0023073E" w:rsidRPr="00F96E7F" w:rsidRDefault="0023073E" w:rsidP="0023073E">
      <w:pPr>
        <w:widowControl/>
        <w:tabs>
          <w:tab w:val="left" w:pos="851"/>
        </w:tabs>
        <w:spacing w:before="120" w:after="120"/>
        <w:rPr>
          <w:sz w:val="20"/>
          <w:szCs w:val="20"/>
          <w:lang w:bidi="ar-SA"/>
        </w:rPr>
      </w:pPr>
      <w:r w:rsidRPr="00F96E7F">
        <w:rPr>
          <w:b/>
          <w:sz w:val="20"/>
          <w:szCs w:val="20"/>
        </w:rPr>
        <w:t>[1]</w:t>
      </w:r>
      <w:r w:rsidRPr="00F96E7F">
        <w:rPr>
          <w:b/>
          <w:sz w:val="20"/>
          <w:szCs w:val="20"/>
        </w:rPr>
        <w:tab/>
        <w:t>Schedule 15</w:t>
      </w:r>
      <w:r w:rsidRPr="00F96E7F">
        <w:rPr>
          <w:sz w:val="20"/>
          <w:szCs w:val="20"/>
        </w:rPr>
        <w:t xml:space="preserve"> is varied by adding the following to both category 8.2 and category 8.3 in the </w:t>
      </w:r>
      <w:r w:rsidR="00EF3FDB">
        <w:rPr>
          <w:sz w:val="20"/>
          <w:szCs w:val="20"/>
        </w:rPr>
        <w:t>t</w:t>
      </w:r>
      <w:r w:rsidRPr="00F96E7F">
        <w:rPr>
          <w:sz w:val="20"/>
          <w:szCs w:val="20"/>
        </w:rPr>
        <w:t>able to section S15—5, in numerical order</w:t>
      </w:r>
    </w:p>
    <w:tbl>
      <w:tblPr>
        <w:tblStyle w:val="TableGrid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to section S15-5"/>
      </w:tblPr>
      <w:tblGrid>
        <w:gridCol w:w="1668"/>
        <w:gridCol w:w="4252"/>
        <w:gridCol w:w="992"/>
        <w:gridCol w:w="2160"/>
      </w:tblGrid>
      <w:tr w:rsidR="0023073E" w:rsidRPr="00F96E7F" w14:paraId="5615BC4C" w14:textId="77777777" w:rsidTr="002A088B">
        <w:trPr>
          <w:cantSplit/>
          <w:tblHeader/>
        </w:trPr>
        <w:tc>
          <w:tcPr>
            <w:tcW w:w="1668" w:type="dxa"/>
          </w:tcPr>
          <w:p w14:paraId="267736B7" w14:textId="77777777" w:rsidR="0023073E" w:rsidRPr="00F96E7F" w:rsidRDefault="0023073E" w:rsidP="002C2521">
            <w:pPr>
              <w:pStyle w:val="FSCtblMain"/>
              <w:rPr>
                <w:rFonts w:eastAsiaTheme="minorHAnsi"/>
                <w:szCs w:val="22"/>
              </w:rPr>
            </w:pPr>
            <w:r w:rsidRPr="00F96E7F">
              <w:rPr>
                <w:rFonts w:eastAsiaTheme="minorHAnsi"/>
              </w:rPr>
              <w:t>280 281 282 283</w:t>
            </w:r>
          </w:p>
        </w:tc>
        <w:tc>
          <w:tcPr>
            <w:tcW w:w="4252" w:type="dxa"/>
          </w:tcPr>
          <w:p w14:paraId="467ABF01" w14:textId="77777777" w:rsidR="0023073E" w:rsidRPr="00F96E7F" w:rsidRDefault="0023073E" w:rsidP="002C2521">
            <w:pPr>
              <w:pStyle w:val="FSCtblMain"/>
              <w:rPr>
                <w:rFonts w:eastAsiaTheme="minorHAnsi"/>
                <w:szCs w:val="22"/>
              </w:rPr>
            </w:pPr>
            <w:r w:rsidRPr="00F96E7F">
              <w:rPr>
                <w:rFonts w:eastAsiaTheme="minorHAnsi"/>
              </w:rPr>
              <w:t>Propionic acid and sodium and potassium and calcium propionates</w:t>
            </w:r>
          </w:p>
        </w:tc>
        <w:tc>
          <w:tcPr>
            <w:tcW w:w="992" w:type="dxa"/>
          </w:tcPr>
          <w:p w14:paraId="6DFE6FDD" w14:textId="77777777" w:rsidR="0023073E" w:rsidRPr="00F96E7F" w:rsidRDefault="0023073E" w:rsidP="002C2521">
            <w:pPr>
              <w:pStyle w:val="FSCtblMainRH"/>
              <w:rPr>
                <w:szCs w:val="22"/>
              </w:rPr>
            </w:pPr>
            <w:r w:rsidRPr="00F96E7F">
              <w:t>GMP</w:t>
            </w:r>
          </w:p>
        </w:tc>
        <w:tc>
          <w:tcPr>
            <w:tcW w:w="2160" w:type="dxa"/>
          </w:tcPr>
          <w:p w14:paraId="55165DB5" w14:textId="77777777" w:rsidR="0023073E" w:rsidRPr="00F96E7F" w:rsidRDefault="0023073E" w:rsidP="002A088B">
            <w:pPr>
              <w:keepLines/>
              <w:widowControl/>
              <w:spacing w:before="20" w:after="20"/>
              <w:rPr>
                <w:rFonts w:eastAsiaTheme="minorHAnsi" w:cs="Arial"/>
                <w:sz w:val="18"/>
                <w:szCs w:val="22"/>
                <w:lang w:bidi="ar-SA"/>
              </w:rPr>
            </w:pPr>
          </w:p>
        </w:tc>
      </w:tr>
    </w:tbl>
    <w:p w14:paraId="75E1CF66" w14:textId="77777777" w:rsidR="0023073E" w:rsidRPr="00F96E7F" w:rsidRDefault="0023073E" w:rsidP="0023073E">
      <w:pPr>
        <w:rPr>
          <w:lang w:bidi="ar-SA"/>
        </w:rPr>
      </w:pPr>
    </w:p>
    <w:p w14:paraId="72DE7789" w14:textId="77777777" w:rsidR="0023073E" w:rsidRPr="00795D86" w:rsidRDefault="0023073E" w:rsidP="0023073E">
      <w:pPr>
        <w:rPr>
          <w:lang w:bidi="ar-SA"/>
        </w:rPr>
      </w:pPr>
    </w:p>
    <w:p w14:paraId="1411F8BB" w14:textId="77777777" w:rsidR="00456BD5" w:rsidRPr="00795D86" w:rsidRDefault="00456BD5" w:rsidP="00456BD5">
      <w:pPr>
        <w:rPr>
          <w:lang w:bidi="ar-SA"/>
        </w:rPr>
      </w:pPr>
    </w:p>
    <w:p w14:paraId="107FD862" w14:textId="77777777" w:rsidR="00456BD5" w:rsidRDefault="00456BD5" w:rsidP="00456BD5">
      <w:pPr>
        <w:pStyle w:val="Heading2"/>
        <w:ind w:left="0" w:firstLine="0"/>
      </w:pPr>
      <w:r w:rsidRPr="00932F14">
        <w:br w:type="page"/>
      </w:r>
      <w:bookmarkStart w:id="133" w:name="_Toc460941284"/>
      <w:r w:rsidR="005E06C0" w:rsidRPr="00932F14">
        <w:lastRenderedPageBreak/>
        <w:t xml:space="preserve">Attachment </w:t>
      </w:r>
      <w:r w:rsidR="005E06C0">
        <w:t xml:space="preserve">B – </w:t>
      </w:r>
      <w:r>
        <w:t>Explanatory Statement</w:t>
      </w:r>
      <w:bookmarkEnd w:id="133"/>
    </w:p>
    <w:p w14:paraId="139CCECB" w14:textId="77777777" w:rsidR="00456BD5" w:rsidRPr="000576EB" w:rsidRDefault="00456BD5" w:rsidP="00456BD5">
      <w:pPr>
        <w:rPr>
          <w:b/>
          <w:lang w:val="en-AU" w:eastAsia="en-GB" w:bidi="ar-SA"/>
        </w:rPr>
      </w:pPr>
      <w:r w:rsidRPr="000576EB">
        <w:rPr>
          <w:b/>
          <w:lang w:val="en-AU" w:eastAsia="en-GB" w:bidi="ar-SA"/>
        </w:rPr>
        <w:t>1.</w:t>
      </w:r>
      <w:r w:rsidRPr="000576EB">
        <w:rPr>
          <w:b/>
          <w:lang w:val="en-AU" w:eastAsia="en-GB" w:bidi="ar-SA"/>
        </w:rPr>
        <w:tab/>
        <w:t>Authority</w:t>
      </w:r>
    </w:p>
    <w:p w14:paraId="01B5F527" w14:textId="77777777" w:rsidR="00456BD5" w:rsidRDefault="00456BD5" w:rsidP="00456BD5">
      <w:pPr>
        <w:rPr>
          <w:lang w:val="en-AU" w:eastAsia="en-GB" w:bidi="ar-SA"/>
        </w:rPr>
      </w:pPr>
    </w:p>
    <w:p w14:paraId="3C8A7D82"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27FDC1BE" w14:textId="77777777" w:rsidR="00456BD5" w:rsidRPr="00D13E34" w:rsidRDefault="00456BD5" w:rsidP="00456BD5">
      <w:pPr>
        <w:widowControl/>
        <w:autoSpaceDE w:val="0"/>
        <w:autoSpaceDN w:val="0"/>
        <w:adjustRightInd w:val="0"/>
        <w:rPr>
          <w:rFonts w:eastAsia="Calibri" w:cs="Arial"/>
          <w:bCs/>
          <w:szCs w:val="22"/>
          <w:lang w:val="en-AU" w:bidi="ar-SA"/>
        </w:rPr>
      </w:pPr>
    </w:p>
    <w:p w14:paraId="4CFE5483" w14:textId="77777777" w:rsidR="00456BD5" w:rsidRPr="002643DF" w:rsidRDefault="00456BD5" w:rsidP="00456BD5">
      <w:pPr>
        <w:widowControl/>
        <w:autoSpaceDE w:val="0"/>
        <w:autoSpaceDN w:val="0"/>
        <w:adjustRightInd w:val="0"/>
        <w:rPr>
          <w:rFonts w:eastAsia="Calibri" w:cs="Arial"/>
          <w:bCs/>
          <w:szCs w:val="22"/>
          <w:lang w:val="en-AU" w:bidi="ar-SA"/>
        </w:rPr>
      </w:pPr>
      <w:r w:rsidRPr="002643DF">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53FD1229" w14:textId="77777777" w:rsidR="00456BD5" w:rsidRPr="002643DF" w:rsidRDefault="00456BD5" w:rsidP="00456BD5">
      <w:pPr>
        <w:widowControl/>
        <w:autoSpaceDE w:val="0"/>
        <w:autoSpaceDN w:val="0"/>
        <w:adjustRightInd w:val="0"/>
        <w:rPr>
          <w:rFonts w:eastAsia="Calibri" w:cs="Arial"/>
          <w:bCs/>
          <w:szCs w:val="22"/>
          <w:lang w:val="en-AU" w:bidi="ar-SA"/>
        </w:rPr>
      </w:pPr>
    </w:p>
    <w:p w14:paraId="2EAE904D" w14:textId="70D756B4" w:rsidR="00456BD5" w:rsidRPr="002643DF" w:rsidRDefault="00456BD5" w:rsidP="00456BD5">
      <w:pPr>
        <w:widowControl/>
        <w:autoSpaceDE w:val="0"/>
        <w:autoSpaceDN w:val="0"/>
        <w:adjustRightInd w:val="0"/>
        <w:rPr>
          <w:rFonts w:eastAsia="Calibri" w:cs="Arial"/>
          <w:bCs/>
          <w:szCs w:val="22"/>
          <w:lang w:val="en-AU" w:bidi="ar-SA"/>
        </w:rPr>
      </w:pPr>
      <w:r w:rsidRPr="002643DF">
        <w:rPr>
          <w:rFonts w:eastAsia="Calibri" w:cs="Arial"/>
          <w:bCs/>
          <w:szCs w:val="22"/>
          <w:lang w:val="en-AU" w:bidi="ar-SA"/>
        </w:rPr>
        <w:t xml:space="preserve">The Authority accepted Application </w:t>
      </w:r>
      <w:r w:rsidR="00F147D2" w:rsidRPr="002643DF">
        <w:rPr>
          <w:rFonts w:eastAsia="Calibri" w:cs="Arial"/>
          <w:bCs/>
          <w:szCs w:val="22"/>
          <w:lang w:val="en-AU" w:bidi="ar-SA"/>
        </w:rPr>
        <w:t>A1113</w:t>
      </w:r>
      <w:r w:rsidRPr="002643DF">
        <w:rPr>
          <w:rFonts w:eastAsia="Calibri" w:cs="Arial"/>
          <w:bCs/>
          <w:szCs w:val="22"/>
          <w:lang w:val="en-AU" w:bidi="ar-SA"/>
        </w:rPr>
        <w:t xml:space="preserve"> </w:t>
      </w:r>
      <w:r w:rsidR="002643DF" w:rsidRPr="002643DF">
        <w:rPr>
          <w:rFonts w:eastAsia="Calibri" w:cs="Arial"/>
          <w:bCs/>
          <w:szCs w:val="22"/>
          <w:lang w:val="en-AU" w:bidi="ar-SA"/>
        </w:rPr>
        <w:t xml:space="preserve">which seeks to extend the use of propionates as anti-microbial preservatives in certain </w:t>
      </w:r>
      <w:r w:rsidR="002643DF" w:rsidRPr="002643DF">
        <w:t>processed meat, poultry and game products</w:t>
      </w:r>
      <w:r w:rsidR="002643DF" w:rsidRPr="002643DF">
        <w:rPr>
          <w:rFonts w:eastAsia="Calibri" w:cs="Arial"/>
          <w:bCs/>
          <w:szCs w:val="22"/>
          <w:lang w:val="en-AU" w:bidi="ar-SA"/>
        </w:rPr>
        <w:t xml:space="preserve">. </w:t>
      </w:r>
      <w:r w:rsidRPr="002643DF">
        <w:rPr>
          <w:rFonts w:eastAsia="Calibri" w:cs="Arial"/>
          <w:bCs/>
          <w:szCs w:val="22"/>
          <w:lang w:val="en-AU" w:bidi="ar-SA"/>
        </w:rPr>
        <w:t xml:space="preserve">The Authority considered the Application in accordance with Division 1 of Part 3 and has approved a draft </w:t>
      </w:r>
      <w:r w:rsidR="004226C1">
        <w:rPr>
          <w:rFonts w:eastAsia="Calibri" w:cs="Arial"/>
          <w:bCs/>
          <w:szCs w:val="22"/>
          <w:lang w:val="en-AU" w:bidi="ar-SA"/>
        </w:rPr>
        <w:t>variation</w:t>
      </w:r>
      <w:r w:rsidRPr="002643DF">
        <w:rPr>
          <w:rFonts w:eastAsia="Calibri" w:cs="Arial"/>
          <w:bCs/>
          <w:szCs w:val="22"/>
          <w:lang w:val="en-AU" w:bidi="ar-SA"/>
        </w:rPr>
        <w:t xml:space="preserve">. </w:t>
      </w:r>
    </w:p>
    <w:p w14:paraId="79E2B8E7" w14:textId="77777777" w:rsidR="00456BD5" w:rsidRPr="000A72E1" w:rsidRDefault="00456BD5" w:rsidP="00456BD5">
      <w:pPr>
        <w:widowControl/>
        <w:autoSpaceDE w:val="0"/>
        <w:autoSpaceDN w:val="0"/>
        <w:adjustRightInd w:val="0"/>
        <w:rPr>
          <w:rFonts w:eastAsia="Calibri" w:cs="Arial"/>
          <w:bCs/>
          <w:szCs w:val="22"/>
          <w:lang w:val="en-AU" w:bidi="ar-SA"/>
        </w:rPr>
      </w:pPr>
    </w:p>
    <w:p w14:paraId="21A2A210" w14:textId="77777777"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Following consideration by </w:t>
      </w:r>
      <w:r>
        <w:rPr>
          <w:rFonts w:eastAsia="Calibri" w:cs="Arial"/>
          <w:bCs/>
          <w:szCs w:val="22"/>
          <w:lang w:val="en-AU" w:bidi="ar-SA"/>
        </w:rPr>
        <w:t xml:space="preserve">the </w:t>
      </w:r>
      <w:r>
        <w:rPr>
          <w:rFonts w:cs="Helvetica"/>
          <w:lang w:val="en-AU"/>
        </w:rPr>
        <w:t xml:space="preserve">Australia and New Zealand Ministerial Forum on Food </w:t>
      </w:r>
      <w:r>
        <w:rPr>
          <w:rFonts w:cs="Arial"/>
        </w:rPr>
        <w:t>Regulation</w:t>
      </w:r>
      <w:r w:rsidRPr="00D13E34">
        <w:rPr>
          <w:rFonts w:eastAsia="Calibri" w:cs="Arial"/>
          <w:bCs/>
          <w:szCs w:val="22"/>
          <w:lang w:val="en-AU" w:bidi="ar-SA"/>
        </w:rPr>
        <w:t xml:space="preserve">, section 92 of the </w:t>
      </w:r>
      <w:r>
        <w:rPr>
          <w:rFonts w:eastAsia="Calibri" w:cs="Arial"/>
          <w:bCs/>
          <w:szCs w:val="22"/>
          <w:lang w:val="en-AU" w:bidi="ar-SA"/>
        </w:rPr>
        <w:t xml:space="preserve">FSANZ </w:t>
      </w:r>
      <w:r w:rsidRPr="00D13E34">
        <w:rPr>
          <w:rFonts w:eastAsia="Calibri" w:cs="Arial"/>
          <w:bCs/>
          <w:szCs w:val="22"/>
          <w:lang w:val="en-AU" w:bidi="ar-SA"/>
        </w:rPr>
        <w:t xml:space="preserve">Act stipulates that </w:t>
      </w:r>
      <w:r>
        <w:rPr>
          <w:rFonts w:eastAsia="Calibri" w:cs="Arial"/>
          <w:bCs/>
          <w:szCs w:val="22"/>
          <w:lang w:val="en-AU" w:bidi="ar-SA"/>
        </w:rPr>
        <w:t>the Authority</w:t>
      </w:r>
      <w:r w:rsidRPr="00D13E34">
        <w:rPr>
          <w:rFonts w:eastAsia="Calibri" w:cs="Arial"/>
          <w:bCs/>
          <w:szCs w:val="22"/>
          <w:lang w:val="en-AU" w:bidi="ar-SA"/>
        </w:rPr>
        <w:t xml:space="preserve"> must publish a notice about the standard or draft variation of a standard</w:t>
      </w:r>
      <w:r>
        <w:rPr>
          <w:rFonts w:eastAsia="Calibri" w:cs="Arial"/>
          <w:bCs/>
          <w:szCs w:val="22"/>
          <w:lang w:val="en-AU" w:bidi="ar-SA"/>
        </w:rPr>
        <w:t xml:space="preserve">. </w:t>
      </w:r>
    </w:p>
    <w:p w14:paraId="77300C50" w14:textId="77777777" w:rsidR="00456BD5" w:rsidRPr="00D13E34" w:rsidRDefault="00456BD5" w:rsidP="00456BD5">
      <w:pPr>
        <w:widowControl/>
        <w:autoSpaceDE w:val="0"/>
        <w:autoSpaceDN w:val="0"/>
        <w:adjustRightInd w:val="0"/>
        <w:rPr>
          <w:rFonts w:eastAsia="Calibri" w:cs="Arial"/>
          <w:bCs/>
          <w:szCs w:val="22"/>
          <w:lang w:val="en-AU" w:bidi="ar-SA"/>
        </w:rPr>
      </w:pPr>
    </w:p>
    <w:p w14:paraId="0955445D" w14:textId="77777777" w:rsidR="00456BD5" w:rsidRPr="00D13E34" w:rsidRDefault="00456BD5" w:rsidP="00456BD5">
      <w:pPr>
        <w:widowControl/>
        <w:autoSpaceDE w:val="0"/>
        <w:autoSpaceDN w:val="0"/>
        <w:adjustRightInd w:val="0"/>
        <w:rPr>
          <w:rFonts w:eastAsia="Calibri" w:cs="Arial"/>
          <w:color w:val="000000"/>
          <w:szCs w:val="22"/>
          <w:lang w:val="en-AU" w:bidi="ar-SA"/>
        </w:rPr>
      </w:pPr>
      <w:r w:rsidRPr="00EC71D1">
        <w:rPr>
          <w:rFonts w:eastAsia="Calibri" w:cs="Arial"/>
          <w:bCs/>
          <w:color w:val="000000"/>
          <w:szCs w:val="22"/>
          <w:lang w:val="en-AU" w:bidi="ar-SA"/>
        </w:rPr>
        <w:t xml:space="preserve">Section 94 of the </w:t>
      </w:r>
      <w:r>
        <w:rPr>
          <w:rFonts w:eastAsia="Calibri" w:cs="Arial"/>
          <w:bCs/>
          <w:color w:val="000000"/>
          <w:szCs w:val="22"/>
          <w:lang w:val="en-AU" w:bidi="ar-SA"/>
        </w:rPr>
        <w:t xml:space="preserve">FSANZ </w:t>
      </w:r>
      <w:r w:rsidRPr="00EC71D1">
        <w:rPr>
          <w:rFonts w:eastAsia="Calibri" w:cs="Arial"/>
          <w:bCs/>
          <w:color w:val="000000"/>
          <w:szCs w:val="22"/>
          <w:lang w:val="en-AU" w:bidi="ar-SA"/>
        </w:rPr>
        <w:t>Act specifies that a</w:t>
      </w:r>
      <w:r w:rsidRPr="00EC71D1">
        <w:rPr>
          <w:rFonts w:eastAsia="Calibri" w:cs="Arial"/>
          <w:color w:val="000000"/>
          <w:szCs w:val="22"/>
          <w:lang w:val="en-AU" w:bidi="ar-SA"/>
        </w:rPr>
        <w:t xml:space="preserve"> standard, or a variation of a standard, in relation to which a notice is published under section 92 is a legislative instrument, but </w:t>
      </w:r>
      <w:r>
        <w:rPr>
          <w:rFonts w:eastAsia="Calibri" w:cs="Arial"/>
          <w:color w:val="000000"/>
          <w:szCs w:val="22"/>
          <w:lang w:val="en-AU" w:bidi="ar-SA"/>
        </w:rPr>
        <w:t xml:space="preserve">is not subject to parliamentary disallowance or </w:t>
      </w:r>
      <w:proofErr w:type="spellStart"/>
      <w:r>
        <w:rPr>
          <w:rFonts w:eastAsia="Calibri" w:cs="Arial"/>
          <w:color w:val="000000"/>
          <w:szCs w:val="22"/>
          <w:lang w:val="en-AU" w:bidi="ar-SA"/>
        </w:rPr>
        <w:t>sunsetting</w:t>
      </w:r>
      <w:proofErr w:type="spellEnd"/>
      <w:r>
        <w:rPr>
          <w:rFonts w:eastAsia="Calibri" w:cs="Arial"/>
          <w:color w:val="000000"/>
          <w:szCs w:val="22"/>
          <w:lang w:val="en-AU" w:bidi="ar-SA"/>
        </w:rPr>
        <w:t xml:space="preserve"> under the </w:t>
      </w:r>
      <w:r w:rsidRPr="00076D3B">
        <w:rPr>
          <w:rFonts w:eastAsia="Calibri" w:cs="Arial"/>
          <w:i/>
          <w:color w:val="000000"/>
          <w:szCs w:val="22"/>
          <w:lang w:val="en-AU" w:bidi="ar-SA"/>
        </w:rPr>
        <w:t>Legislati</w:t>
      </w:r>
      <w:r w:rsidR="00856712">
        <w:rPr>
          <w:rFonts w:eastAsia="Calibri" w:cs="Arial"/>
          <w:i/>
          <w:color w:val="000000"/>
          <w:szCs w:val="22"/>
          <w:lang w:val="en-AU" w:bidi="ar-SA"/>
        </w:rPr>
        <w:t xml:space="preserve">on </w:t>
      </w:r>
      <w:r w:rsidRPr="00076D3B">
        <w:rPr>
          <w:rFonts w:eastAsia="Calibri" w:cs="Arial"/>
          <w:i/>
          <w:color w:val="000000"/>
          <w:szCs w:val="22"/>
          <w:lang w:val="en-AU" w:bidi="ar-SA"/>
        </w:rPr>
        <w:t>Act 2003</w:t>
      </w:r>
      <w:r>
        <w:rPr>
          <w:rFonts w:eastAsia="Calibri" w:cs="Arial"/>
          <w:color w:val="000000"/>
          <w:szCs w:val="22"/>
          <w:lang w:val="en-AU" w:bidi="ar-SA"/>
        </w:rPr>
        <w:t>.</w:t>
      </w:r>
    </w:p>
    <w:p w14:paraId="272C5B75" w14:textId="77777777" w:rsidR="00456BD5" w:rsidRDefault="00456BD5" w:rsidP="00456BD5">
      <w:pPr>
        <w:rPr>
          <w:lang w:val="en-AU" w:eastAsia="en-GB" w:bidi="ar-SA"/>
        </w:rPr>
      </w:pPr>
    </w:p>
    <w:p w14:paraId="6BBD6FC4" w14:textId="77777777" w:rsidR="00456BD5" w:rsidRDefault="00456BD5" w:rsidP="00456BD5">
      <w:pPr>
        <w:rPr>
          <w:b/>
          <w:lang w:val="en-AU" w:eastAsia="en-GB" w:bidi="ar-SA"/>
        </w:rPr>
      </w:pPr>
      <w:r>
        <w:rPr>
          <w:b/>
          <w:lang w:val="en-AU" w:eastAsia="en-GB" w:bidi="ar-SA"/>
        </w:rPr>
        <w:t>2.</w:t>
      </w:r>
      <w:r>
        <w:rPr>
          <w:b/>
          <w:lang w:val="en-AU" w:eastAsia="en-GB" w:bidi="ar-SA"/>
        </w:rPr>
        <w:tab/>
        <w:t xml:space="preserve">Purpose </w:t>
      </w:r>
    </w:p>
    <w:p w14:paraId="5D75B15B" w14:textId="77777777" w:rsidR="00456BD5" w:rsidRDefault="00456BD5" w:rsidP="00456BD5">
      <w:pPr>
        <w:rPr>
          <w:lang w:val="en-AU" w:eastAsia="en-GB" w:bidi="ar-SA"/>
        </w:rPr>
      </w:pPr>
    </w:p>
    <w:p w14:paraId="14EA1DCB" w14:textId="67A2CBB5" w:rsidR="002643DF" w:rsidRPr="002643DF" w:rsidRDefault="002643DF" w:rsidP="002643DF">
      <w:r w:rsidRPr="002643DF">
        <w:rPr>
          <w:lang w:val="en-AU" w:eastAsia="en-GB" w:bidi="ar-SA"/>
        </w:rPr>
        <w:t xml:space="preserve">The </w:t>
      </w:r>
      <w:r w:rsidR="005D4C9F">
        <w:rPr>
          <w:lang w:val="en-AU" w:eastAsia="en-GB" w:bidi="ar-SA"/>
        </w:rPr>
        <w:t>purpose of this variation is to extend the permission for use of</w:t>
      </w:r>
      <w:r w:rsidRPr="002643DF">
        <w:t xml:space="preserve"> propionic acid and its calcium, potassium and sodium salts as anti-microbial preservatives </w:t>
      </w:r>
      <w:r w:rsidR="005D4C9F">
        <w:t>to</w:t>
      </w:r>
      <w:r w:rsidR="005D4C9F" w:rsidRPr="002643DF">
        <w:t xml:space="preserve"> </w:t>
      </w:r>
      <w:r w:rsidRPr="002643DF">
        <w:t xml:space="preserve">certain processed meat, game and poultry products under conditions of GMP. Permitting this extension of use of propionates to these products would provide manufacturers with an additional tool in the risk management of microbial activity, namely in the control of </w:t>
      </w:r>
      <w:r w:rsidRPr="002643DF">
        <w:rPr>
          <w:i/>
        </w:rPr>
        <w:t xml:space="preserve">Listeria monocytogenes. </w:t>
      </w:r>
      <w:r w:rsidRPr="002643DF">
        <w:t xml:space="preserve"> </w:t>
      </w:r>
    </w:p>
    <w:p w14:paraId="7485A05A" w14:textId="77777777" w:rsidR="002643DF" w:rsidRPr="002643DF" w:rsidRDefault="002643DF" w:rsidP="002643DF"/>
    <w:p w14:paraId="456591F5" w14:textId="6E7FCC29" w:rsidR="002643DF" w:rsidRPr="002643DF" w:rsidRDefault="002643DF" w:rsidP="002643DF">
      <w:r w:rsidRPr="002643DF">
        <w:t xml:space="preserve">The variation </w:t>
      </w:r>
      <w:r w:rsidR="00CD4DBD">
        <w:t>will</w:t>
      </w:r>
      <w:r w:rsidR="00CD4DBD" w:rsidRPr="002643DF">
        <w:t xml:space="preserve"> </w:t>
      </w:r>
      <w:r w:rsidR="005D4C9F">
        <w:t xml:space="preserve">also </w:t>
      </w:r>
      <w:r w:rsidRPr="002643DF">
        <w:t xml:space="preserve">provide consistency with a Codex international standard.   </w:t>
      </w:r>
    </w:p>
    <w:p w14:paraId="37B57DEF" w14:textId="77777777" w:rsidR="00456BD5" w:rsidRDefault="00456BD5" w:rsidP="00456BD5">
      <w:pPr>
        <w:rPr>
          <w:lang w:val="en-AU" w:eastAsia="en-GB" w:bidi="ar-SA"/>
        </w:rPr>
      </w:pPr>
    </w:p>
    <w:p w14:paraId="48ACFEAF" w14:textId="77777777" w:rsidR="00456BD5" w:rsidRPr="000576EB" w:rsidRDefault="00456BD5" w:rsidP="00456BD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2FB356A4" w14:textId="77777777" w:rsidR="00456BD5" w:rsidRDefault="00456BD5" w:rsidP="00456BD5">
      <w:pPr>
        <w:rPr>
          <w:lang w:val="en-AU" w:eastAsia="en-GB" w:bidi="ar-SA"/>
        </w:rPr>
      </w:pPr>
    </w:p>
    <w:p w14:paraId="0E0FADF8" w14:textId="645FB766" w:rsidR="00456BD5" w:rsidRPr="00D13E34" w:rsidRDefault="00456BD5" w:rsidP="00456BD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The variation </w:t>
      </w:r>
      <w:r w:rsidR="004C6E75">
        <w:rPr>
          <w:rFonts w:eastAsia="Calibri" w:cs="Arial"/>
          <w:bCs/>
          <w:szCs w:val="22"/>
          <w:lang w:val="en-AU" w:bidi="ar-SA"/>
        </w:rPr>
        <w:t>does</w:t>
      </w:r>
      <w:r w:rsidRPr="00D13E34">
        <w:rPr>
          <w:rFonts w:eastAsia="Calibri" w:cs="Arial"/>
          <w:bCs/>
          <w:szCs w:val="22"/>
          <w:lang w:val="en-AU" w:bidi="ar-SA"/>
        </w:rPr>
        <w:t xml:space="preserve"> not incorporate any documents by reference.</w:t>
      </w:r>
    </w:p>
    <w:p w14:paraId="0A91B526" w14:textId="77777777" w:rsidR="00456BD5" w:rsidRDefault="00456BD5" w:rsidP="00456BD5">
      <w:pPr>
        <w:rPr>
          <w:lang w:val="en-AU" w:eastAsia="en-GB" w:bidi="ar-SA"/>
        </w:rPr>
      </w:pPr>
    </w:p>
    <w:p w14:paraId="12DF332C" w14:textId="77777777" w:rsidR="00456BD5" w:rsidRPr="000576EB" w:rsidRDefault="00456BD5" w:rsidP="00456BD5">
      <w:pPr>
        <w:rPr>
          <w:b/>
          <w:lang w:val="en-AU" w:eastAsia="en-GB" w:bidi="ar-SA"/>
        </w:rPr>
      </w:pPr>
      <w:r w:rsidRPr="000576EB">
        <w:rPr>
          <w:b/>
          <w:lang w:val="en-AU" w:eastAsia="en-GB" w:bidi="ar-SA"/>
        </w:rPr>
        <w:t>4.</w:t>
      </w:r>
      <w:r w:rsidRPr="000576EB">
        <w:rPr>
          <w:b/>
          <w:lang w:val="en-AU" w:eastAsia="en-GB" w:bidi="ar-SA"/>
        </w:rPr>
        <w:tab/>
        <w:t>Consultation</w:t>
      </w:r>
    </w:p>
    <w:p w14:paraId="17BAD396" w14:textId="77777777" w:rsidR="00456BD5" w:rsidRDefault="00456BD5" w:rsidP="00456BD5">
      <w:pPr>
        <w:rPr>
          <w:lang w:val="en-AU" w:eastAsia="en-GB" w:bidi="ar-SA"/>
        </w:rPr>
      </w:pPr>
    </w:p>
    <w:p w14:paraId="7553E899" w14:textId="7EA6B2AE" w:rsidR="00456BD5" w:rsidRPr="00F147D2" w:rsidRDefault="00456BD5" w:rsidP="00456BD5">
      <w:pPr>
        <w:rPr>
          <w:lang w:val="en-AU"/>
        </w:rPr>
      </w:pPr>
      <w:r w:rsidRPr="00F147D2">
        <w:rPr>
          <w:szCs w:val="22"/>
        </w:rPr>
        <w:t xml:space="preserve">In accordance with the procedure in Division </w:t>
      </w:r>
      <w:r w:rsidR="00F147D2" w:rsidRPr="00F147D2">
        <w:rPr>
          <w:szCs w:val="22"/>
        </w:rPr>
        <w:t>1</w:t>
      </w:r>
      <w:r w:rsidRPr="00F147D2">
        <w:rPr>
          <w:szCs w:val="22"/>
        </w:rPr>
        <w:t xml:space="preserve"> of Part </w:t>
      </w:r>
      <w:r w:rsidR="00F147D2" w:rsidRPr="00F147D2">
        <w:rPr>
          <w:szCs w:val="22"/>
        </w:rPr>
        <w:t>3</w:t>
      </w:r>
      <w:r w:rsidRPr="00F147D2">
        <w:rPr>
          <w:szCs w:val="22"/>
        </w:rPr>
        <w:t xml:space="preserve"> of the FSANZ Act, </w:t>
      </w:r>
      <w:r w:rsidRPr="00F147D2">
        <w:rPr>
          <w:rFonts w:eastAsia="Calibri" w:cs="Arial"/>
          <w:bCs/>
          <w:szCs w:val="22"/>
          <w:lang w:val="en-AU" w:bidi="ar-SA"/>
        </w:rPr>
        <w:t>the Authority</w:t>
      </w:r>
      <w:r w:rsidRPr="00F147D2">
        <w:rPr>
          <w:szCs w:val="22"/>
        </w:rPr>
        <w:t>’s consideration of Application A</w:t>
      </w:r>
      <w:r w:rsidR="00F147D2" w:rsidRPr="00F147D2">
        <w:rPr>
          <w:szCs w:val="22"/>
        </w:rPr>
        <w:t>1113</w:t>
      </w:r>
      <w:r w:rsidRPr="00F147D2">
        <w:rPr>
          <w:szCs w:val="22"/>
        </w:rPr>
        <w:t xml:space="preserve"> included one round of public consultation following an assessment and the preparation of a draft </w:t>
      </w:r>
      <w:r w:rsidR="004226C1">
        <w:rPr>
          <w:szCs w:val="22"/>
        </w:rPr>
        <w:t>variation</w:t>
      </w:r>
      <w:r w:rsidRPr="00F147D2">
        <w:rPr>
          <w:szCs w:val="22"/>
        </w:rPr>
        <w:t xml:space="preserve"> and associated report</w:t>
      </w:r>
      <w:r w:rsidR="00F147D2" w:rsidRPr="00F147D2">
        <w:rPr>
          <w:szCs w:val="22"/>
        </w:rPr>
        <w:t xml:space="preserve">. </w:t>
      </w:r>
      <w:r w:rsidRPr="00F147D2">
        <w:rPr>
          <w:szCs w:val="22"/>
        </w:rPr>
        <w:t xml:space="preserve">Submissions were called for on </w:t>
      </w:r>
      <w:r w:rsidR="00F147D2" w:rsidRPr="0023073E">
        <w:rPr>
          <w:szCs w:val="22"/>
        </w:rPr>
        <w:t>29 June 2016</w:t>
      </w:r>
      <w:r w:rsidR="00F147D2" w:rsidRPr="00F147D2">
        <w:rPr>
          <w:szCs w:val="22"/>
        </w:rPr>
        <w:t xml:space="preserve"> </w:t>
      </w:r>
      <w:r w:rsidRPr="00F147D2">
        <w:rPr>
          <w:szCs w:val="22"/>
        </w:rPr>
        <w:t xml:space="preserve">for a six-week consultation period. </w:t>
      </w:r>
    </w:p>
    <w:p w14:paraId="71FA3AF2" w14:textId="77777777" w:rsidR="00456BD5" w:rsidRPr="0023073E" w:rsidRDefault="00456BD5" w:rsidP="00456BD5">
      <w:pPr>
        <w:rPr>
          <w:rFonts w:eastAsia="Calibri"/>
          <w:szCs w:val="22"/>
          <w:lang w:val="en-AU" w:bidi="ar-SA"/>
        </w:rPr>
      </w:pPr>
    </w:p>
    <w:p w14:paraId="27B43992" w14:textId="3CC44820" w:rsidR="00456BD5" w:rsidRPr="0023073E" w:rsidRDefault="00456BD5" w:rsidP="00456BD5">
      <w:pPr>
        <w:widowControl/>
        <w:autoSpaceDE w:val="0"/>
        <w:autoSpaceDN w:val="0"/>
        <w:adjustRightInd w:val="0"/>
        <w:rPr>
          <w:rFonts w:cs="Arial"/>
          <w:szCs w:val="22"/>
        </w:rPr>
      </w:pPr>
      <w:r w:rsidRPr="0023073E">
        <w:rPr>
          <w:rFonts w:eastAsia="Calibri" w:cs="Arial"/>
          <w:bCs/>
          <w:szCs w:val="22"/>
          <w:lang w:val="en-AU" w:bidi="ar-SA"/>
        </w:rPr>
        <w:t xml:space="preserve">A Regulation Impact Statement was not required because the proposed variations to </w:t>
      </w:r>
      <w:r w:rsidR="0023073E" w:rsidRPr="0023073E">
        <w:rPr>
          <w:rFonts w:eastAsia="Calibri" w:cs="Arial"/>
          <w:bCs/>
          <w:szCs w:val="22"/>
          <w:lang w:val="en-AU" w:bidi="ar-SA"/>
        </w:rPr>
        <w:t xml:space="preserve">section </w:t>
      </w:r>
      <w:r w:rsidR="002643DF" w:rsidRPr="0023073E">
        <w:t>S15</w:t>
      </w:r>
      <w:r w:rsidR="0023073E" w:rsidRPr="0023073E">
        <w:t xml:space="preserve">—5 </w:t>
      </w:r>
      <w:r w:rsidRPr="0023073E">
        <w:t xml:space="preserve">are likely to have a minor impact on business and individuals. </w:t>
      </w:r>
    </w:p>
    <w:p w14:paraId="48115FD8" w14:textId="77777777" w:rsidR="00456BD5" w:rsidRPr="0023073E" w:rsidRDefault="00456BD5" w:rsidP="00456BD5">
      <w:pPr>
        <w:rPr>
          <w:lang w:val="en-AU" w:eastAsia="en-GB" w:bidi="ar-SA"/>
        </w:rPr>
      </w:pPr>
    </w:p>
    <w:p w14:paraId="212CC900" w14:textId="77777777" w:rsidR="00103C7B" w:rsidRDefault="00103C7B" w:rsidP="00245C11">
      <w:pPr>
        <w:keepNext/>
        <w:widowControl/>
        <w:rPr>
          <w:rFonts w:eastAsiaTheme="minorHAnsi" w:cs="Arial"/>
          <w:b/>
          <w:bCs/>
          <w:szCs w:val="22"/>
          <w:lang w:val="en-AU" w:bidi="ar-SA"/>
        </w:rPr>
      </w:pPr>
      <w:r>
        <w:rPr>
          <w:rFonts w:eastAsiaTheme="minorHAnsi" w:cs="Arial"/>
          <w:b/>
          <w:bCs/>
          <w:szCs w:val="22"/>
          <w:lang w:val="en-AU" w:bidi="ar-SA"/>
        </w:rPr>
        <w:br w:type="page"/>
      </w:r>
    </w:p>
    <w:p w14:paraId="5D96B816" w14:textId="668BEDC0" w:rsidR="00456BD5" w:rsidRDefault="00456BD5" w:rsidP="00245C11">
      <w:pPr>
        <w:keepNext/>
        <w:widowControl/>
        <w:rPr>
          <w:rFonts w:eastAsiaTheme="minorHAnsi" w:cs="Arial"/>
          <w:b/>
          <w:bCs/>
          <w:szCs w:val="22"/>
          <w:lang w:val="en-AU" w:bidi="ar-SA"/>
        </w:rPr>
      </w:pPr>
      <w:r>
        <w:rPr>
          <w:rFonts w:eastAsiaTheme="minorHAnsi" w:cs="Arial"/>
          <w:b/>
          <w:bCs/>
          <w:szCs w:val="22"/>
          <w:lang w:val="en-AU" w:bidi="ar-SA"/>
        </w:rPr>
        <w:lastRenderedPageBreak/>
        <w:t>5.</w:t>
      </w:r>
      <w:r>
        <w:rPr>
          <w:rFonts w:eastAsiaTheme="minorHAnsi" w:cs="Arial"/>
          <w:b/>
          <w:bCs/>
          <w:szCs w:val="22"/>
          <w:lang w:val="en-AU" w:bidi="ar-SA"/>
        </w:rPr>
        <w:tab/>
        <w:t>Statement of compatibility with human rights</w:t>
      </w:r>
    </w:p>
    <w:p w14:paraId="7A20FCEE" w14:textId="77777777" w:rsidR="00456BD5" w:rsidRDefault="00456BD5" w:rsidP="00245C11">
      <w:pPr>
        <w:keepNext/>
        <w:widowControl/>
        <w:rPr>
          <w:rFonts w:eastAsiaTheme="minorHAnsi"/>
          <w:lang w:val="en-AU" w:bidi="ar-SA"/>
        </w:rPr>
      </w:pPr>
    </w:p>
    <w:p w14:paraId="5E94279A" w14:textId="77777777" w:rsidR="00456BD5" w:rsidRDefault="00456BD5" w:rsidP="00456BD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74C0236C" w14:textId="77777777" w:rsidR="00456BD5" w:rsidRDefault="00456BD5" w:rsidP="00456BD5">
      <w:pPr>
        <w:rPr>
          <w:rFonts w:eastAsiaTheme="minorHAnsi"/>
          <w:lang w:val="en-AU" w:bidi="ar-SA"/>
        </w:rPr>
      </w:pPr>
    </w:p>
    <w:p w14:paraId="68FA242A" w14:textId="4565574D" w:rsidR="00456BD5" w:rsidRPr="00432A42" w:rsidRDefault="00456BD5" w:rsidP="00456BD5">
      <w:pPr>
        <w:rPr>
          <w:b/>
        </w:rPr>
      </w:pPr>
      <w:r w:rsidRPr="00432A42">
        <w:rPr>
          <w:b/>
        </w:rPr>
        <w:t>6.</w:t>
      </w:r>
      <w:r w:rsidRPr="00432A42">
        <w:rPr>
          <w:b/>
        </w:rPr>
        <w:tab/>
      </w:r>
      <w:r>
        <w:rPr>
          <w:b/>
          <w:lang w:val="en-AU" w:eastAsia="en-GB" w:bidi="ar-SA"/>
        </w:rPr>
        <w:t>Variation</w:t>
      </w:r>
    </w:p>
    <w:p w14:paraId="5F4A3C51" w14:textId="77777777" w:rsidR="00456BD5" w:rsidRDefault="00456BD5" w:rsidP="00456BD5"/>
    <w:p w14:paraId="57C23125" w14:textId="0E071206" w:rsidR="003E5160" w:rsidRPr="003E5160" w:rsidRDefault="00CD4DBD" w:rsidP="003E5160">
      <w:pPr>
        <w:rPr>
          <w:rFonts w:cs="Arial"/>
        </w:rPr>
      </w:pPr>
      <w:r>
        <w:rPr>
          <w:rFonts w:cs="Arial"/>
        </w:rPr>
        <w:t>Item 1</w:t>
      </w:r>
      <w:r w:rsidR="003E5160" w:rsidRPr="003E5160">
        <w:rPr>
          <w:rFonts w:cs="Arial"/>
        </w:rPr>
        <w:t xml:space="preserve"> amends Schedule 15</w:t>
      </w:r>
      <w:r w:rsidR="005D4C9F">
        <w:rPr>
          <w:rFonts w:cs="Arial"/>
        </w:rPr>
        <w:t xml:space="preserve"> of the Code</w:t>
      </w:r>
      <w:r w:rsidR="003E5160" w:rsidRPr="003E5160">
        <w:rPr>
          <w:rFonts w:cs="Arial"/>
        </w:rPr>
        <w:t>.</w:t>
      </w:r>
    </w:p>
    <w:p w14:paraId="4FE42DB6" w14:textId="77777777" w:rsidR="003E5160" w:rsidRPr="003E5160" w:rsidRDefault="003E5160" w:rsidP="003E5160">
      <w:pPr>
        <w:rPr>
          <w:rFonts w:cs="Arial"/>
        </w:rPr>
      </w:pPr>
    </w:p>
    <w:p w14:paraId="7FBA6DB7" w14:textId="55572FFF" w:rsidR="003E5160" w:rsidRPr="003E5160" w:rsidRDefault="00DB32E3" w:rsidP="003E5160">
      <w:r>
        <w:t xml:space="preserve">The </w:t>
      </w:r>
      <w:r w:rsidR="003E5160" w:rsidRPr="003E5160">
        <w:t>amendment inserts</w:t>
      </w:r>
      <w:r w:rsidR="00B95FE2">
        <w:t xml:space="preserve"> permissions for each of the following food additives into both category 8.2 and category 8.3 in the table to section S15—5: </w:t>
      </w:r>
      <w:r w:rsidR="003E5160" w:rsidRPr="003E5160">
        <w:t xml:space="preserve"> propionic acid (INS 280), sodium propionate (INS 281), potassium propionate (INS 282) and calcium propionate (INS 283)</w:t>
      </w:r>
      <w:r w:rsidR="00B95FE2">
        <w:t xml:space="preserve">. The amendment sets </w:t>
      </w:r>
      <w:r w:rsidR="003E5160" w:rsidRPr="003E5160">
        <w:t xml:space="preserve">the maximum permitted level for each </w:t>
      </w:r>
      <w:r w:rsidR="00B95FE2">
        <w:t>additive</w:t>
      </w:r>
      <w:r w:rsidR="003E5160" w:rsidRPr="003E5160">
        <w:t xml:space="preserve"> at GMP (Good Manufacturing Practice).  </w:t>
      </w:r>
    </w:p>
    <w:p w14:paraId="2E0FF413" w14:textId="77777777" w:rsidR="003E5160" w:rsidRPr="003E5160" w:rsidRDefault="003E5160" w:rsidP="003E5160"/>
    <w:p w14:paraId="35135AA3" w14:textId="223D4E04" w:rsidR="003E5160" w:rsidRPr="003E5160" w:rsidRDefault="003E5160" w:rsidP="003E5160">
      <w:r w:rsidRPr="003E5160">
        <w:t>The effect of this amendment is to permit the use of propionic acid and its calcium, sodium and potassium salts as food additive</w:t>
      </w:r>
      <w:r w:rsidR="001159EB">
        <w:t>s</w:t>
      </w:r>
      <w:r w:rsidRPr="003E5160">
        <w:t xml:space="preserve"> for any processed meat, poultry and game product </w:t>
      </w:r>
      <w:r w:rsidR="00B95FE2">
        <w:t>falling</w:t>
      </w:r>
      <w:r w:rsidRPr="003E5160">
        <w:t xml:space="preserve"> within </w:t>
      </w:r>
      <w:r w:rsidR="00B95FE2">
        <w:t xml:space="preserve">either </w:t>
      </w:r>
      <w:r w:rsidRPr="003E5160">
        <w:t xml:space="preserve">category 8.2 or </w:t>
      </w:r>
      <w:r w:rsidR="00275476">
        <w:t xml:space="preserve">category </w:t>
      </w:r>
      <w:r w:rsidRPr="003E5160">
        <w:t>8.3</w:t>
      </w:r>
      <w:r w:rsidR="00B95FE2">
        <w:t>, provided that</w:t>
      </w:r>
      <w:r w:rsidRPr="003E5160">
        <w:t xml:space="preserve"> the maximum level</w:t>
      </w:r>
      <w:r w:rsidR="00B95FE2">
        <w:t xml:space="preserve"> of the additive</w:t>
      </w:r>
      <w:r w:rsidRPr="003E5160">
        <w:t xml:space="preserve"> is </w:t>
      </w:r>
      <w:r w:rsidR="00B95FE2">
        <w:t xml:space="preserve">consistent with </w:t>
      </w:r>
      <w:r w:rsidRPr="003E5160">
        <w:t xml:space="preserve">GMP. This means the amount of additive used must be limited to the lowest possible level necessary to accomplish its desired effect. </w:t>
      </w:r>
    </w:p>
    <w:p w14:paraId="6D8A27F9" w14:textId="77777777" w:rsidR="00456BD5" w:rsidRDefault="00456BD5" w:rsidP="00456BD5"/>
    <w:bookmarkEnd w:id="131"/>
    <w:bookmarkEnd w:id="132"/>
    <w:p w14:paraId="682C6A20" w14:textId="77777777" w:rsidR="00456BD5" w:rsidRDefault="00456BD5" w:rsidP="00456BD5">
      <w:pPr>
        <w:rPr>
          <w:lang w:val="en-AU" w:eastAsia="en-GB" w:bidi="ar-SA"/>
        </w:rPr>
      </w:pPr>
    </w:p>
    <w:sectPr w:rsidR="00456BD5" w:rsidSect="00EB576F">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82462" w14:textId="77777777" w:rsidR="002A45D6" w:rsidRDefault="002A45D6">
      <w:r>
        <w:separator/>
      </w:r>
    </w:p>
    <w:p w14:paraId="51A8780D" w14:textId="77777777" w:rsidR="002A45D6" w:rsidRDefault="002A45D6"/>
  </w:endnote>
  <w:endnote w:type="continuationSeparator" w:id="0">
    <w:p w14:paraId="28833028" w14:textId="77777777" w:rsidR="002A45D6" w:rsidRDefault="002A45D6">
      <w:r>
        <w:continuationSeparator/>
      </w:r>
    </w:p>
    <w:p w14:paraId="4BDB41A0" w14:textId="77777777" w:rsidR="002A45D6" w:rsidRDefault="002A45D6"/>
  </w:endnote>
  <w:endnote w:type="continuationNotice" w:id="1">
    <w:p w14:paraId="5E8E484D" w14:textId="77777777" w:rsidR="002A45D6" w:rsidRDefault="002A45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D1773" w14:textId="77777777" w:rsidR="00B32AD6" w:rsidRDefault="00B32AD6"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19794E" w14:textId="77777777" w:rsidR="00B32AD6" w:rsidRDefault="00B32A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497913"/>
      <w:docPartObj>
        <w:docPartGallery w:val="Page Numbers (Bottom of Page)"/>
        <w:docPartUnique/>
      </w:docPartObj>
    </w:sdtPr>
    <w:sdtEndPr>
      <w:rPr>
        <w:noProof/>
      </w:rPr>
    </w:sdtEndPr>
    <w:sdtContent>
      <w:p w14:paraId="7EBC9A3E" w14:textId="77777777" w:rsidR="00B32AD6" w:rsidRDefault="00B32AD6" w:rsidP="00A671E6">
        <w:pPr>
          <w:pStyle w:val="Footer"/>
          <w:jc w:val="center"/>
        </w:pPr>
        <w:r>
          <w:fldChar w:fldCharType="begin"/>
        </w:r>
        <w:r>
          <w:instrText xml:space="preserve"> PAGE   \* MERGEFORMAT </w:instrText>
        </w:r>
        <w:r>
          <w:fldChar w:fldCharType="separate"/>
        </w:r>
        <w:r w:rsidR="00D244DD">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364DE3" w14:textId="77777777" w:rsidR="00ED1B22" w:rsidRDefault="00ED1B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E71A4B" w14:textId="77777777" w:rsidR="002A45D6" w:rsidRDefault="002A45D6">
      <w:r>
        <w:separator/>
      </w:r>
    </w:p>
  </w:footnote>
  <w:footnote w:type="continuationSeparator" w:id="0">
    <w:p w14:paraId="336EEE3C" w14:textId="77777777" w:rsidR="002A45D6" w:rsidRDefault="002A45D6">
      <w:r>
        <w:continuationSeparator/>
      </w:r>
    </w:p>
    <w:p w14:paraId="41B63CB4" w14:textId="77777777" w:rsidR="002A45D6" w:rsidRDefault="002A45D6"/>
  </w:footnote>
  <w:footnote w:type="continuationNotice" w:id="1">
    <w:p w14:paraId="46BC5D90" w14:textId="77777777" w:rsidR="002A45D6" w:rsidRDefault="002A45D6"/>
  </w:footnote>
  <w:footnote w:id="2">
    <w:p w14:paraId="747E18AB" w14:textId="77777777" w:rsidR="00B32AD6" w:rsidRPr="003E2C50" w:rsidRDefault="00B32AD6" w:rsidP="00A316F6">
      <w:pPr>
        <w:pStyle w:val="FootnoteText"/>
        <w:rPr>
          <w:lang w:val="en-NZ"/>
        </w:rPr>
      </w:pPr>
      <w:r w:rsidRPr="000A72E1">
        <w:rPr>
          <w:rStyle w:val="FootnoteReference"/>
          <w:sz w:val="18"/>
        </w:rPr>
        <w:footnoteRef/>
      </w:r>
      <w:r w:rsidRPr="000A72E1">
        <w:rPr>
          <w:sz w:val="18"/>
        </w:rPr>
        <w:t xml:space="preserve"> Use of the term propionates in this document refers collectively to propionic acid (INS 280), sodium propionate (INS 281), potassium propionate (INS 282) and calcium propionate (INS 283).</w:t>
      </w:r>
    </w:p>
  </w:footnote>
  <w:footnote w:id="3">
    <w:p w14:paraId="2BFFC0BD" w14:textId="2A0C4F9B" w:rsidR="00B32AD6" w:rsidRPr="000A72E1" w:rsidRDefault="00B32AD6">
      <w:pPr>
        <w:pStyle w:val="FootnoteText"/>
        <w:rPr>
          <w:sz w:val="18"/>
          <w:lang w:val="en-AU"/>
        </w:rPr>
      </w:pPr>
      <w:r w:rsidRPr="000A72E1">
        <w:rPr>
          <w:rStyle w:val="FootnoteReference"/>
          <w:sz w:val="18"/>
        </w:rPr>
        <w:footnoteRef/>
      </w:r>
      <w:r w:rsidRPr="000A72E1">
        <w:rPr>
          <w:sz w:val="18"/>
        </w:rPr>
        <w:t xml:space="preserve"> </w:t>
      </w:r>
      <w:r w:rsidRPr="000A72E1">
        <w:rPr>
          <w:sz w:val="18"/>
          <w:lang w:val="en-AU"/>
        </w:rPr>
        <w:t>Propionates includes the four substances, INS 280, 281, 282 and 283</w:t>
      </w:r>
    </w:p>
  </w:footnote>
  <w:footnote w:id="4">
    <w:p w14:paraId="7C47DEB0" w14:textId="77777777" w:rsidR="00B32AD6" w:rsidRPr="005E04E4" w:rsidRDefault="00B32AD6" w:rsidP="001F0E0C">
      <w:pPr>
        <w:pStyle w:val="FootnoteText"/>
        <w:rPr>
          <w:lang w:val="en-NZ"/>
        </w:rPr>
      </w:pPr>
      <w:r w:rsidRPr="000A72E1">
        <w:rPr>
          <w:rStyle w:val="FootnoteReference"/>
          <w:sz w:val="18"/>
        </w:rPr>
        <w:footnoteRef/>
      </w:r>
      <w:r w:rsidRPr="000A72E1">
        <w:rPr>
          <w:sz w:val="18"/>
        </w:rPr>
        <w:t xml:space="preserve"> </w:t>
      </w:r>
      <w:r w:rsidRPr="000A72E1">
        <w:rPr>
          <w:sz w:val="18"/>
          <w:lang w:val="en-NZ"/>
        </w:rPr>
        <w:t>MPL – Maximum Permitted Level</w:t>
      </w:r>
    </w:p>
  </w:footnote>
  <w:footnote w:id="5">
    <w:p w14:paraId="6C36FEB8" w14:textId="7680D023" w:rsidR="00B32AD6" w:rsidRPr="001F6FB8" w:rsidRDefault="00B32AD6" w:rsidP="001F0E0C">
      <w:pPr>
        <w:rPr>
          <w:lang w:val="en-NZ"/>
        </w:rPr>
      </w:pPr>
      <w:r w:rsidRPr="00AF61D8">
        <w:rPr>
          <w:rStyle w:val="FootnoteReference"/>
          <w:sz w:val="18"/>
          <w:szCs w:val="18"/>
        </w:rPr>
        <w:footnoteRef/>
      </w:r>
      <w:r>
        <w:rPr>
          <w:sz w:val="18"/>
          <w:szCs w:val="18"/>
        </w:rPr>
        <w:t xml:space="preserve"> </w:t>
      </w:r>
      <w:r w:rsidRPr="00AF61D8">
        <w:rPr>
          <w:sz w:val="18"/>
          <w:szCs w:val="18"/>
        </w:rPr>
        <w:t>Codex Alimentarius General Standard for Food Additives, CODEX STAN 192-1995 (Revision 201</w:t>
      </w:r>
      <w:r>
        <w:rPr>
          <w:sz w:val="18"/>
          <w:szCs w:val="18"/>
        </w:rPr>
        <w:t>6</w:t>
      </w:r>
      <w:r w:rsidRPr="00AF61D8">
        <w:rPr>
          <w:sz w:val="18"/>
          <w:szCs w:val="18"/>
        </w:rPr>
        <w:t xml:space="preserve">), Table 3, food category numbers  08.2 Processed meat, poultry, </w:t>
      </w:r>
      <w:r>
        <w:rPr>
          <w:sz w:val="18"/>
          <w:szCs w:val="18"/>
        </w:rPr>
        <w:t xml:space="preserve">and </w:t>
      </w:r>
      <w:r w:rsidRPr="00AF61D8">
        <w:rPr>
          <w:sz w:val="18"/>
          <w:szCs w:val="18"/>
        </w:rPr>
        <w:t xml:space="preserve">game products in whole pieces or cuts, 08.3 processed </w:t>
      </w:r>
      <w:proofErr w:type="spellStart"/>
      <w:r w:rsidRPr="00AF61D8">
        <w:rPr>
          <w:sz w:val="18"/>
          <w:szCs w:val="18"/>
        </w:rPr>
        <w:t>comminuted</w:t>
      </w:r>
      <w:proofErr w:type="spellEnd"/>
      <w:r w:rsidRPr="00AF61D8">
        <w:rPr>
          <w:sz w:val="18"/>
          <w:szCs w:val="18"/>
        </w:rPr>
        <w:t xml:space="preserve"> meat, poultry</w:t>
      </w:r>
      <w:r>
        <w:rPr>
          <w:sz w:val="18"/>
          <w:szCs w:val="18"/>
        </w:rPr>
        <w:t>,</w:t>
      </w:r>
      <w:r w:rsidRPr="00AF61D8">
        <w:rPr>
          <w:sz w:val="18"/>
          <w:szCs w:val="18"/>
        </w:rPr>
        <w:t xml:space="preserve"> and game products.  </w:t>
      </w:r>
      <w:hyperlink r:id="rId1" w:history="1">
        <w:r w:rsidRPr="007C54EE">
          <w:rPr>
            <w:rStyle w:val="Hyperlink"/>
            <w:sz w:val="18"/>
            <w:szCs w:val="18"/>
          </w:rPr>
          <w:t>http://www.fao.org/gsfaonline/additives/search.html?lang=en</w:t>
        </w:r>
      </w:hyperlink>
      <w:r w:rsidRPr="007C54EE">
        <w:rPr>
          <w:sz w:val="18"/>
          <w:szCs w:val="18"/>
        </w:rPr>
        <w:t xml:space="preserve"> </w:t>
      </w:r>
      <w:r w:rsidRPr="00AF61D8">
        <w:rPr>
          <w:sz w:val="18"/>
          <w:szCs w:val="18"/>
        </w:rPr>
        <w:t xml:space="preserve"> Accessed on 2</w:t>
      </w:r>
      <w:r>
        <w:rPr>
          <w:sz w:val="18"/>
          <w:szCs w:val="18"/>
        </w:rPr>
        <w:t>5</w:t>
      </w:r>
      <w:r w:rsidRPr="00AF61D8">
        <w:rPr>
          <w:sz w:val="18"/>
          <w:szCs w:val="18"/>
        </w:rPr>
        <w:t xml:space="preserve"> </w:t>
      </w:r>
      <w:r>
        <w:rPr>
          <w:sz w:val="18"/>
          <w:szCs w:val="18"/>
        </w:rPr>
        <w:t>August</w:t>
      </w:r>
      <w:r w:rsidRPr="00AF61D8">
        <w:rPr>
          <w:sz w:val="18"/>
          <w:szCs w:val="18"/>
        </w:rPr>
        <w:t xml:space="preserve"> 2016.</w:t>
      </w:r>
      <w:r>
        <w:t xml:space="preserve"> </w:t>
      </w:r>
    </w:p>
  </w:footnote>
  <w:footnote w:id="6">
    <w:p w14:paraId="45983997" w14:textId="769C8AF3" w:rsidR="00B32AD6" w:rsidRPr="00D92406" w:rsidRDefault="00B32AD6" w:rsidP="00F44BFC">
      <w:pPr>
        <w:pStyle w:val="EndnoteText"/>
        <w:rPr>
          <w:lang w:val="en-NZ"/>
        </w:rPr>
      </w:pPr>
      <w:r w:rsidRPr="00AF61D8">
        <w:rPr>
          <w:rStyle w:val="FootnoteReference"/>
          <w:sz w:val="18"/>
          <w:szCs w:val="18"/>
        </w:rPr>
        <w:footnoteRef/>
      </w:r>
      <w:r w:rsidRPr="00AF61D8">
        <w:rPr>
          <w:sz w:val="18"/>
          <w:szCs w:val="18"/>
        </w:rPr>
        <w:t xml:space="preserve"> </w:t>
      </w:r>
      <w:r w:rsidRPr="00AF61D8">
        <w:rPr>
          <w:sz w:val="18"/>
          <w:szCs w:val="18"/>
          <w:lang w:val="en-NZ"/>
        </w:rPr>
        <w:t xml:space="preserve">US FDA 21 CFR 184 </w:t>
      </w:r>
      <w:hyperlink r:id="rId2" w:history="1">
        <w:r w:rsidRPr="00AF61D8">
          <w:rPr>
            <w:rStyle w:val="Hyperlink"/>
            <w:sz w:val="18"/>
            <w:szCs w:val="18"/>
            <w:lang w:val="en-NZ"/>
          </w:rPr>
          <w:t>http://www.ecfr.gov/cgi-bin/text-idx?SID=5da6fa0bb90c2f8f8548889522619fdc&amp;mc=true&amp;node=pt21.3.184&amp;rgn=div5</w:t>
        </w:r>
      </w:hyperlink>
      <w:r w:rsidRPr="00AF61D8">
        <w:rPr>
          <w:sz w:val="18"/>
          <w:szCs w:val="18"/>
          <w:lang w:val="en-NZ"/>
        </w:rPr>
        <w:t xml:space="preserve"> Accessed 2</w:t>
      </w:r>
      <w:r>
        <w:rPr>
          <w:sz w:val="18"/>
          <w:szCs w:val="18"/>
          <w:lang w:val="en-NZ"/>
        </w:rPr>
        <w:t>5</w:t>
      </w:r>
      <w:r w:rsidRPr="00AF61D8">
        <w:rPr>
          <w:sz w:val="18"/>
          <w:szCs w:val="18"/>
          <w:lang w:val="en-NZ"/>
        </w:rPr>
        <w:t xml:space="preserve"> </w:t>
      </w:r>
      <w:r>
        <w:rPr>
          <w:sz w:val="18"/>
          <w:szCs w:val="18"/>
          <w:lang w:val="en-NZ"/>
        </w:rPr>
        <w:t>August</w:t>
      </w:r>
      <w:r w:rsidRPr="00AF61D8">
        <w:rPr>
          <w:sz w:val="18"/>
          <w:szCs w:val="18"/>
          <w:lang w:val="en-NZ"/>
        </w:rPr>
        <w:t xml:space="preserve"> 2016</w:t>
      </w:r>
    </w:p>
  </w:footnote>
  <w:footnote w:id="7">
    <w:p w14:paraId="1DDEFB29" w14:textId="64E6DE54" w:rsidR="00B32AD6" w:rsidRPr="00F44BFC" w:rsidRDefault="00B32AD6">
      <w:pPr>
        <w:pStyle w:val="FootnoteText"/>
        <w:rPr>
          <w:lang w:val="en-AU"/>
        </w:rPr>
      </w:pPr>
      <w:r>
        <w:rPr>
          <w:rStyle w:val="FootnoteReference"/>
        </w:rPr>
        <w:footnoteRef/>
      </w:r>
      <w:r>
        <w:t xml:space="preserve"> </w:t>
      </w:r>
      <w:r w:rsidRPr="00552F50">
        <w:rPr>
          <w:sz w:val="18"/>
          <w:szCs w:val="18"/>
        </w:rPr>
        <w:t xml:space="preserve">United States Department of Agriculture Food Safety and Inspection Service, </w:t>
      </w:r>
      <w:r w:rsidRPr="00552F50">
        <w:rPr>
          <w:sz w:val="18"/>
          <w:szCs w:val="18"/>
          <w:lang w:eastAsia="en-AU" w:bidi="ar-SA"/>
        </w:rPr>
        <w:t xml:space="preserve">FSIS Directive 7210.1 (Revision 15 of 30 April 2013) Safe and suitable ingredients used in the production of meat, poultry, and egg products </w:t>
      </w:r>
      <w:r>
        <w:rPr>
          <w:lang w:eastAsia="en-AU" w:bidi="ar-SA"/>
        </w:rPr>
        <w:t xml:space="preserve"> </w:t>
      </w:r>
      <w:hyperlink r:id="rId3" w:history="1">
        <w:r w:rsidRPr="00F44BFC">
          <w:rPr>
            <w:rStyle w:val="Hyperlink"/>
            <w:sz w:val="18"/>
            <w:szCs w:val="18"/>
          </w:rPr>
          <w:t>http://www.fsis.usda.gov/wps/wcm/connect/7f981741-94f1-468c-b60d-b428c971152d/7120_68.pdf?MOD=AJPERES</w:t>
        </w:r>
      </w:hyperlink>
      <w:r>
        <w:rPr>
          <w:sz w:val="18"/>
          <w:szCs w:val="18"/>
        </w:rPr>
        <w:t xml:space="preserve"> Accessed 26 August 2016</w:t>
      </w:r>
    </w:p>
  </w:footnote>
  <w:footnote w:id="8">
    <w:p w14:paraId="15FA6141" w14:textId="4025694C" w:rsidR="00B32AD6" w:rsidRPr="00552F50" w:rsidRDefault="00B32AD6">
      <w:pPr>
        <w:pStyle w:val="FootnoteText"/>
        <w:rPr>
          <w:lang w:val="en-AU"/>
        </w:rPr>
      </w:pPr>
      <w:r>
        <w:rPr>
          <w:rStyle w:val="FootnoteReference"/>
        </w:rPr>
        <w:footnoteRef/>
      </w:r>
      <w:r>
        <w:t xml:space="preserve"> </w:t>
      </w:r>
      <w:r w:rsidRPr="00552F50">
        <w:rPr>
          <w:sz w:val="18"/>
          <w:szCs w:val="18"/>
        </w:rPr>
        <w:t>EFSA Journal 2016;14(8):4546</w:t>
      </w:r>
      <w:r w:rsidRPr="00552F50">
        <w:rPr>
          <w:rFonts w:cs="Arial"/>
          <w:color w:val="666666"/>
          <w:sz w:val="18"/>
          <w:szCs w:val="18"/>
          <w:lang w:val="en"/>
        </w:rPr>
        <w:t xml:space="preserve"> </w:t>
      </w:r>
      <w:hyperlink r:id="rId4" w:history="1">
        <w:r w:rsidRPr="005517AF">
          <w:rPr>
            <w:rStyle w:val="Hyperlink"/>
            <w:rFonts w:cs="Arial"/>
            <w:sz w:val="18"/>
            <w:szCs w:val="18"/>
            <w:lang w:val="en"/>
          </w:rPr>
          <w:t>http://www.efsa.europa.eu/en/efsajournal/pub/4546</w:t>
        </w:r>
      </w:hyperlink>
      <w:r>
        <w:rPr>
          <w:rFonts w:cs="Arial"/>
          <w:color w:val="666666"/>
          <w:sz w:val="18"/>
          <w:szCs w:val="18"/>
          <w:lang w:val="en"/>
        </w:rPr>
        <w:t xml:space="preserve">  </w:t>
      </w:r>
      <w:r>
        <w:rPr>
          <w:sz w:val="18"/>
          <w:szCs w:val="18"/>
        </w:rPr>
        <w:t>Accessed 26 August 2016</w:t>
      </w:r>
    </w:p>
  </w:footnote>
  <w:footnote w:id="9">
    <w:p w14:paraId="31C734B2" w14:textId="77777777" w:rsidR="00B32AD6" w:rsidRPr="00791C10" w:rsidRDefault="00B32AD6" w:rsidP="009A31C4">
      <w:pPr>
        <w:pStyle w:val="FootnoteText"/>
        <w:rPr>
          <w:sz w:val="18"/>
          <w:szCs w:val="18"/>
          <w:lang w:val="en-AU"/>
        </w:rPr>
      </w:pPr>
      <w:r w:rsidRPr="00D8289F">
        <w:rPr>
          <w:rStyle w:val="FootnoteReference"/>
          <w:sz w:val="18"/>
        </w:rPr>
        <w:footnoteRef/>
      </w:r>
      <w:r w:rsidRPr="00D8289F">
        <w:rPr>
          <w:sz w:val="18"/>
        </w:rPr>
        <w:t xml:space="preserve"> </w:t>
      </w:r>
      <w:hyperlink r:id="rId5" w:history="1">
        <w:r w:rsidRPr="00791C10">
          <w:rPr>
            <w:rStyle w:val="Hyperlink"/>
            <w:sz w:val="18"/>
            <w:szCs w:val="18"/>
          </w:rPr>
          <w:t>http://www.foodstandards.gov.au/code/fofr/fofrpolicy/pages/default.aspx</w:t>
        </w:r>
      </w:hyperlink>
      <w:r w:rsidRPr="00791C10">
        <w:rPr>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0B9FB" w14:textId="77777777" w:rsidR="00ED1B22" w:rsidRDefault="00ED1B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9C3A5" w14:textId="356E7013" w:rsidR="00B32AD6" w:rsidRPr="00616017" w:rsidRDefault="00B32AD6" w:rsidP="00616017">
    <w:pPr>
      <w:pStyle w:val="Header"/>
      <w:jc w:val="center"/>
      <w:rPr>
        <w:rFonts w:cs="Arial"/>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0D4870" w14:textId="77777777" w:rsidR="00B32AD6" w:rsidRDefault="00B32AD6">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775"/>
    <w:multiLevelType w:val="hybridMultilevel"/>
    <w:tmpl w:val="DDA6AAC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1">
    <w:nsid w:val="00974BB8"/>
    <w:multiLevelType w:val="hybridMultilevel"/>
    <w:tmpl w:val="B9EE6DBE"/>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D60D3D"/>
    <w:multiLevelType w:val="hybridMultilevel"/>
    <w:tmpl w:val="03A42BAE"/>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4042D2"/>
    <w:multiLevelType w:val="singleLevel"/>
    <w:tmpl w:val="08F62FD2"/>
    <w:lvl w:ilvl="0">
      <w:start w:val="1"/>
      <w:numFmt w:val="bullet"/>
      <w:lvlText w:val="·"/>
      <w:lvlJc w:val="left"/>
      <w:pPr>
        <w:tabs>
          <w:tab w:val="num" w:pos="680"/>
        </w:tabs>
        <w:ind w:left="680" w:hanging="680"/>
      </w:pPr>
      <w:rPr>
        <w:rFonts w:ascii="Symbol" w:hAnsi="Symbol" w:hint="default"/>
      </w:rPr>
    </w:lvl>
  </w:abstractNum>
  <w:abstractNum w:abstractNumId="5">
    <w:nsid w:val="08875667"/>
    <w:multiLevelType w:val="hybridMultilevel"/>
    <w:tmpl w:val="F188804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0B2E2C"/>
    <w:multiLevelType w:val="hybridMultilevel"/>
    <w:tmpl w:val="F1BEB6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9E14BE"/>
    <w:multiLevelType w:val="hybridMultilevel"/>
    <w:tmpl w:val="6C02F4B6"/>
    <w:lvl w:ilvl="0" w:tplc="081A204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B125D2A"/>
    <w:multiLevelType w:val="hybridMultilevel"/>
    <w:tmpl w:val="B45CA966"/>
    <w:lvl w:ilvl="0" w:tplc="6FAA70C4">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0F752D52"/>
    <w:multiLevelType w:val="hybridMultilevel"/>
    <w:tmpl w:val="A36A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F8061BC"/>
    <w:multiLevelType w:val="multilevel"/>
    <w:tmpl w:val="46A6E3D0"/>
    <w:lvl w:ilvl="0">
      <w:start w:val="1"/>
      <w:numFmt w:val="decimal"/>
      <w:lvlText w:val="%1."/>
      <w:lvlJc w:val="left"/>
      <w:pPr>
        <w:tabs>
          <w:tab w:val="num" w:pos="680"/>
        </w:tabs>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lowerLetter"/>
      <w:lvlText w:val="(%3)"/>
      <w:lvlJc w:val="left"/>
      <w:pPr>
        <w:tabs>
          <w:tab w:val="num" w:pos="1361"/>
        </w:tabs>
        <w:ind w:left="1361" w:hanging="681"/>
      </w:pPr>
      <w:rPr>
        <w:rFonts w:cs="Times New Roman" w:hint="default"/>
      </w:rPr>
    </w:lvl>
    <w:lvl w:ilvl="3">
      <w:start w:val="1"/>
      <w:numFmt w:val="lowerRoman"/>
      <w:lvlText w:val="(%4)"/>
      <w:lvlJc w:val="left"/>
      <w:pPr>
        <w:tabs>
          <w:tab w:val="num" w:pos="2041"/>
        </w:tabs>
        <w:ind w:left="2041" w:hanging="680"/>
      </w:pPr>
      <w:rPr>
        <w:rFonts w:cs="Times New Roman" w:hint="default"/>
      </w:rPr>
    </w:lvl>
    <w:lvl w:ilvl="4">
      <w:start w:val="1"/>
      <w:numFmt w:val="upperLetter"/>
      <w:lvlText w:val="(%5)"/>
      <w:lvlJc w:val="left"/>
      <w:pPr>
        <w:tabs>
          <w:tab w:val="num" w:pos="2722"/>
        </w:tabs>
        <w:ind w:left="2722" w:hanging="681"/>
      </w:pPr>
      <w:rPr>
        <w:rFonts w:cs="Times New Roman" w:hint="default"/>
      </w:rPr>
    </w:lvl>
    <w:lvl w:ilvl="5">
      <w:start w:val="1"/>
      <w:numFmt w:val="upperRoman"/>
      <w:lvlText w:val="(%6)"/>
      <w:lvlJc w:val="left"/>
      <w:pPr>
        <w:tabs>
          <w:tab w:val="num" w:pos="3402"/>
        </w:tabs>
        <w:ind w:left="3402" w:hanging="680"/>
      </w:pPr>
      <w:rPr>
        <w:rFonts w:cs="Times New Roman" w:hint="default"/>
      </w:rPr>
    </w:lvl>
    <w:lvl w:ilvl="6">
      <w:start w:val="1"/>
      <w:numFmt w:val="none"/>
      <w:lvlText w:val=""/>
      <w:lvlJc w:val="left"/>
      <w:pPr>
        <w:tabs>
          <w:tab w:val="num" w:pos="0"/>
        </w:tabs>
      </w:pPr>
      <w:rPr>
        <w:rFonts w:cs="Times New Roman" w:hint="default"/>
      </w:rPr>
    </w:lvl>
    <w:lvl w:ilvl="7">
      <w:start w:val="1"/>
      <w:numFmt w:val="none"/>
      <w:lvlText w:val=""/>
      <w:lvlJc w:val="left"/>
      <w:pPr>
        <w:tabs>
          <w:tab w:val="num" w:pos="0"/>
        </w:tabs>
      </w:pPr>
      <w:rPr>
        <w:rFonts w:cs="Times New Roman" w:hint="default"/>
      </w:rPr>
    </w:lvl>
    <w:lvl w:ilvl="8">
      <w:start w:val="1"/>
      <w:numFmt w:val="none"/>
      <w:lvlText w:val=""/>
      <w:lvlJc w:val="left"/>
      <w:pPr>
        <w:tabs>
          <w:tab w:val="num" w:pos="0"/>
        </w:tabs>
      </w:pPr>
      <w:rPr>
        <w:rFonts w:cs="Times New Roman" w:hint="default"/>
      </w:rPr>
    </w:lvl>
  </w:abstractNum>
  <w:abstractNum w:abstractNumId="1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nsid w:val="108147B3"/>
    <w:multiLevelType w:val="hybridMultilevel"/>
    <w:tmpl w:val="DEB45CB0"/>
    <w:lvl w:ilvl="0" w:tplc="43FA43BE">
      <w:start w:val="1"/>
      <w:numFmt w:val="bullet"/>
      <w:lvlText w:val=""/>
      <w:lvlJc w:val="center"/>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11687346"/>
    <w:multiLevelType w:val="hybridMultilevel"/>
    <w:tmpl w:val="4006A6A0"/>
    <w:lvl w:ilvl="0" w:tplc="F7E2334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2963D77"/>
    <w:multiLevelType w:val="hybridMultilevel"/>
    <w:tmpl w:val="7632DC76"/>
    <w:lvl w:ilvl="0" w:tplc="AB405820">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1AFB4C7A"/>
    <w:multiLevelType w:val="multilevel"/>
    <w:tmpl w:val="42ECE2EE"/>
    <w:lvl w:ilvl="0">
      <w:start w:val="1"/>
      <w:numFmt w:val="decimal"/>
      <w:lvlText w:val="%1."/>
      <w:lvlJc w:val="left"/>
      <w:pPr>
        <w:tabs>
          <w:tab w:val="num" w:pos="851"/>
        </w:tabs>
        <w:ind w:left="851" w:hanging="851"/>
      </w:pPr>
      <w:rPr>
        <w:rFonts w:ascii="Times New Roman Bold" w:hAnsi="Times New Roman Bold" w:hint="default"/>
        <w:b/>
        <w:i w:val="0"/>
        <w:sz w:val="28"/>
      </w:rPr>
    </w:lvl>
    <w:lvl w:ilvl="1">
      <w:start w:val="1"/>
      <w:numFmt w:val="decimal"/>
      <w:lvlText w:val="%1.%2"/>
      <w:lvlJc w:val="left"/>
      <w:pPr>
        <w:tabs>
          <w:tab w:val="num" w:pos="851"/>
        </w:tabs>
        <w:ind w:left="851" w:hanging="851"/>
      </w:pPr>
      <w:rPr>
        <w:rFonts w:ascii="Times New Roman Bold" w:hAnsi="Times New Roman Bold" w:hint="default"/>
        <w:b/>
        <w:i w:val="0"/>
        <w:caps w:val="0"/>
        <w:color w:val="auto"/>
        <w:sz w:val="24"/>
      </w:rPr>
    </w:lvl>
    <w:lvl w:ilvl="2">
      <w:start w:val="1"/>
      <w:numFmt w:val="decimal"/>
      <w:lvlText w:val="%1.%2.%3"/>
      <w:lvlJc w:val="left"/>
      <w:pPr>
        <w:tabs>
          <w:tab w:val="num" w:pos="851"/>
        </w:tabs>
        <w:ind w:left="851" w:hanging="851"/>
      </w:pPr>
      <w:rPr>
        <w:rFonts w:ascii="Times New Roman" w:hAnsi="Times New Roman" w:hint="default"/>
        <w:b w:val="0"/>
        <w:i/>
        <w:sz w:val="24"/>
        <w:u w:val="none"/>
      </w:rPr>
    </w:lvl>
    <w:lvl w:ilvl="3">
      <w:start w:val="1"/>
      <w:numFmt w:val="decimal"/>
      <w:lvlText w:val="%1.%2.%3.%4"/>
      <w:lvlJc w:val="left"/>
      <w:pPr>
        <w:tabs>
          <w:tab w:val="num" w:pos="851"/>
        </w:tabs>
        <w:ind w:left="851" w:hanging="851"/>
      </w:pPr>
      <w:rPr>
        <w:rFonts w:hint="default"/>
        <w:b w:val="0"/>
        <w:i/>
        <w:sz w:val="24"/>
        <w:u w:val="none"/>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6">
    <w:nsid w:val="1B82713A"/>
    <w:multiLevelType w:val="hybridMultilevel"/>
    <w:tmpl w:val="2A86A6A8"/>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1E740164"/>
    <w:multiLevelType w:val="hybridMultilevel"/>
    <w:tmpl w:val="09CC2F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ED052A5"/>
    <w:multiLevelType w:val="hybridMultilevel"/>
    <w:tmpl w:val="82FA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1F73467F"/>
    <w:multiLevelType w:val="hybridMultilevel"/>
    <w:tmpl w:val="8D243A2E"/>
    <w:lvl w:ilvl="0" w:tplc="3A842EA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26054271"/>
    <w:multiLevelType w:val="hybridMultilevel"/>
    <w:tmpl w:val="7AC0B316"/>
    <w:lvl w:ilvl="0" w:tplc="FDFEA67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9816A14"/>
    <w:multiLevelType w:val="hybridMultilevel"/>
    <w:tmpl w:val="84AAED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2BFD33E8"/>
    <w:multiLevelType w:val="hybridMultilevel"/>
    <w:tmpl w:val="03A2BFAE"/>
    <w:lvl w:ilvl="0" w:tplc="F31AED10">
      <w:start w:val="1"/>
      <w:numFmt w:val="bullet"/>
      <w:pStyle w:val="FSBullet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nsid w:val="2F075476"/>
    <w:multiLevelType w:val="hybridMultilevel"/>
    <w:tmpl w:val="FDDA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86E1F4C"/>
    <w:multiLevelType w:val="hybridMultilevel"/>
    <w:tmpl w:val="324CD5C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92327BD"/>
    <w:multiLevelType w:val="hybridMultilevel"/>
    <w:tmpl w:val="59BE2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F918BD"/>
    <w:multiLevelType w:val="hybridMultilevel"/>
    <w:tmpl w:val="6C20914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EDF413D"/>
    <w:multiLevelType w:val="hybridMultilevel"/>
    <w:tmpl w:val="DD964D8A"/>
    <w:lvl w:ilvl="0" w:tplc="08090001">
      <w:start w:val="1"/>
      <w:numFmt w:val="bullet"/>
      <w:lvlText w:val=""/>
      <w:lvlJc w:val="left"/>
      <w:pPr>
        <w:ind w:left="636" w:hanging="360"/>
      </w:pPr>
      <w:rPr>
        <w:rFonts w:ascii="Symbol" w:hAnsi="Symbol" w:hint="default"/>
      </w:rPr>
    </w:lvl>
    <w:lvl w:ilvl="1" w:tplc="08090003" w:tentative="1">
      <w:start w:val="1"/>
      <w:numFmt w:val="bullet"/>
      <w:lvlText w:val="o"/>
      <w:lvlJc w:val="left"/>
      <w:pPr>
        <w:ind w:left="1356" w:hanging="360"/>
      </w:pPr>
      <w:rPr>
        <w:rFonts w:ascii="Courier New" w:hAnsi="Courier New" w:cs="Courier New" w:hint="default"/>
      </w:rPr>
    </w:lvl>
    <w:lvl w:ilvl="2" w:tplc="08090005" w:tentative="1">
      <w:start w:val="1"/>
      <w:numFmt w:val="bullet"/>
      <w:lvlText w:val=""/>
      <w:lvlJc w:val="left"/>
      <w:pPr>
        <w:ind w:left="2076" w:hanging="360"/>
      </w:pPr>
      <w:rPr>
        <w:rFonts w:ascii="Wingdings" w:hAnsi="Wingdings" w:hint="default"/>
      </w:rPr>
    </w:lvl>
    <w:lvl w:ilvl="3" w:tplc="08090001" w:tentative="1">
      <w:start w:val="1"/>
      <w:numFmt w:val="bullet"/>
      <w:lvlText w:val=""/>
      <w:lvlJc w:val="left"/>
      <w:pPr>
        <w:ind w:left="2796" w:hanging="360"/>
      </w:pPr>
      <w:rPr>
        <w:rFonts w:ascii="Symbol" w:hAnsi="Symbol" w:hint="default"/>
      </w:rPr>
    </w:lvl>
    <w:lvl w:ilvl="4" w:tplc="08090003" w:tentative="1">
      <w:start w:val="1"/>
      <w:numFmt w:val="bullet"/>
      <w:lvlText w:val="o"/>
      <w:lvlJc w:val="left"/>
      <w:pPr>
        <w:ind w:left="3516" w:hanging="360"/>
      </w:pPr>
      <w:rPr>
        <w:rFonts w:ascii="Courier New" w:hAnsi="Courier New" w:cs="Courier New" w:hint="default"/>
      </w:rPr>
    </w:lvl>
    <w:lvl w:ilvl="5" w:tplc="08090005" w:tentative="1">
      <w:start w:val="1"/>
      <w:numFmt w:val="bullet"/>
      <w:lvlText w:val=""/>
      <w:lvlJc w:val="left"/>
      <w:pPr>
        <w:ind w:left="4236" w:hanging="360"/>
      </w:pPr>
      <w:rPr>
        <w:rFonts w:ascii="Wingdings" w:hAnsi="Wingdings" w:hint="default"/>
      </w:rPr>
    </w:lvl>
    <w:lvl w:ilvl="6" w:tplc="08090001" w:tentative="1">
      <w:start w:val="1"/>
      <w:numFmt w:val="bullet"/>
      <w:lvlText w:val=""/>
      <w:lvlJc w:val="left"/>
      <w:pPr>
        <w:ind w:left="4956" w:hanging="360"/>
      </w:pPr>
      <w:rPr>
        <w:rFonts w:ascii="Symbol" w:hAnsi="Symbol" w:hint="default"/>
      </w:rPr>
    </w:lvl>
    <w:lvl w:ilvl="7" w:tplc="08090003" w:tentative="1">
      <w:start w:val="1"/>
      <w:numFmt w:val="bullet"/>
      <w:lvlText w:val="o"/>
      <w:lvlJc w:val="left"/>
      <w:pPr>
        <w:ind w:left="5676" w:hanging="360"/>
      </w:pPr>
      <w:rPr>
        <w:rFonts w:ascii="Courier New" w:hAnsi="Courier New" w:cs="Courier New" w:hint="default"/>
      </w:rPr>
    </w:lvl>
    <w:lvl w:ilvl="8" w:tplc="08090005" w:tentative="1">
      <w:start w:val="1"/>
      <w:numFmt w:val="bullet"/>
      <w:lvlText w:val=""/>
      <w:lvlJc w:val="left"/>
      <w:pPr>
        <w:ind w:left="6396" w:hanging="360"/>
      </w:pPr>
      <w:rPr>
        <w:rFonts w:ascii="Wingdings" w:hAnsi="Wingdings" w:hint="default"/>
      </w:rPr>
    </w:lvl>
  </w:abstractNum>
  <w:abstractNum w:abstractNumId="29">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43DB599A"/>
    <w:multiLevelType w:val="hybridMultilevel"/>
    <w:tmpl w:val="49B06092"/>
    <w:lvl w:ilvl="0" w:tplc="6FAA70C4">
      <w:start w:val="1"/>
      <w:numFmt w:val="bullet"/>
      <w:lvlText w:val=""/>
      <w:lvlJc w:val="left"/>
      <w:pPr>
        <w:tabs>
          <w:tab w:val="num" w:pos="494"/>
        </w:tabs>
        <w:ind w:left="49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abstractNum w:abstractNumId="31">
    <w:nsid w:val="43DC1942"/>
    <w:multiLevelType w:val="hybridMultilevel"/>
    <w:tmpl w:val="642C88AA"/>
    <w:lvl w:ilvl="0" w:tplc="757A50B4">
      <w:start w:val="1"/>
      <w:numFmt w:val="bullet"/>
      <w:lvlText w:val="-"/>
      <w:lvlJc w:val="left"/>
      <w:pPr>
        <w:tabs>
          <w:tab w:val="num" w:pos="1134"/>
        </w:tabs>
        <w:ind w:left="1134" w:hanging="56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42C2125"/>
    <w:multiLevelType w:val="hybridMultilevel"/>
    <w:tmpl w:val="924025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5E23B5C"/>
    <w:multiLevelType w:val="hybridMultilevel"/>
    <w:tmpl w:val="15E2C8B4"/>
    <w:lvl w:ilvl="0" w:tplc="B234E9C4">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nsid w:val="4CBD36CE"/>
    <w:multiLevelType w:val="hybridMultilevel"/>
    <w:tmpl w:val="7FA69D36"/>
    <w:lvl w:ilvl="0" w:tplc="0388B4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11D7F0D"/>
    <w:multiLevelType w:val="hybridMultilevel"/>
    <w:tmpl w:val="44A02056"/>
    <w:lvl w:ilvl="0" w:tplc="DFFECD3E">
      <w:start w:val="1"/>
      <w:numFmt w:val="bullet"/>
      <w:lvlText w:val=""/>
      <w:lvlJc w:val="left"/>
      <w:pPr>
        <w:tabs>
          <w:tab w:val="num" w:pos="577"/>
        </w:tabs>
        <w:ind w:left="577" w:hanging="510"/>
      </w:pPr>
      <w:rPr>
        <w:rFonts w:ascii="Symbol" w:hAnsi="Symbol" w:hint="default"/>
      </w:rPr>
    </w:lvl>
    <w:lvl w:ilvl="1" w:tplc="5E4E3496">
      <w:start w:val="1"/>
      <w:numFmt w:val="bullet"/>
      <w:lvlText w:val=""/>
      <w:lvlJc w:val="left"/>
      <w:pPr>
        <w:tabs>
          <w:tab w:val="num" w:pos="1601"/>
        </w:tabs>
        <w:ind w:left="1601" w:hanging="454"/>
      </w:pPr>
      <w:rPr>
        <w:rFonts w:ascii="Symbol" w:hAnsi="Symbol" w:hint="default"/>
      </w:rPr>
    </w:lvl>
    <w:lvl w:ilvl="2" w:tplc="BF66393A">
      <w:start w:val="1"/>
      <w:numFmt w:val="decimal"/>
      <w:lvlText w:val="%3."/>
      <w:lvlJc w:val="left"/>
      <w:pPr>
        <w:tabs>
          <w:tab w:val="num" w:pos="2160"/>
        </w:tabs>
        <w:ind w:left="2160" w:hanging="360"/>
      </w:pPr>
    </w:lvl>
    <w:lvl w:ilvl="3" w:tplc="BCD6D014">
      <w:start w:val="1"/>
      <w:numFmt w:val="decimal"/>
      <w:lvlText w:val="%4."/>
      <w:lvlJc w:val="left"/>
      <w:pPr>
        <w:tabs>
          <w:tab w:val="num" w:pos="2880"/>
        </w:tabs>
        <w:ind w:left="2880" w:hanging="360"/>
      </w:pPr>
    </w:lvl>
    <w:lvl w:ilvl="4" w:tplc="1B665806">
      <w:start w:val="1"/>
      <w:numFmt w:val="decimal"/>
      <w:lvlText w:val="%5."/>
      <w:lvlJc w:val="left"/>
      <w:pPr>
        <w:tabs>
          <w:tab w:val="num" w:pos="3600"/>
        </w:tabs>
        <w:ind w:left="3600" w:hanging="360"/>
      </w:pPr>
    </w:lvl>
    <w:lvl w:ilvl="5" w:tplc="4C501F5A">
      <w:start w:val="1"/>
      <w:numFmt w:val="decimal"/>
      <w:lvlText w:val="%6."/>
      <w:lvlJc w:val="left"/>
      <w:pPr>
        <w:tabs>
          <w:tab w:val="num" w:pos="4320"/>
        </w:tabs>
        <w:ind w:left="4320" w:hanging="360"/>
      </w:pPr>
    </w:lvl>
    <w:lvl w:ilvl="6" w:tplc="2D129836">
      <w:start w:val="1"/>
      <w:numFmt w:val="decimal"/>
      <w:lvlText w:val="%7."/>
      <w:lvlJc w:val="left"/>
      <w:pPr>
        <w:tabs>
          <w:tab w:val="num" w:pos="5040"/>
        </w:tabs>
        <w:ind w:left="5040" w:hanging="360"/>
      </w:pPr>
    </w:lvl>
    <w:lvl w:ilvl="7" w:tplc="BF223344">
      <w:start w:val="1"/>
      <w:numFmt w:val="decimal"/>
      <w:lvlText w:val="%8."/>
      <w:lvlJc w:val="left"/>
      <w:pPr>
        <w:tabs>
          <w:tab w:val="num" w:pos="5760"/>
        </w:tabs>
        <w:ind w:left="5760" w:hanging="360"/>
      </w:pPr>
    </w:lvl>
    <w:lvl w:ilvl="8" w:tplc="1C122C56">
      <w:start w:val="1"/>
      <w:numFmt w:val="decimal"/>
      <w:lvlText w:val="%9."/>
      <w:lvlJc w:val="left"/>
      <w:pPr>
        <w:tabs>
          <w:tab w:val="num" w:pos="6480"/>
        </w:tabs>
        <w:ind w:left="6480" w:hanging="360"/>
      </w:pPr>
    </w:lvl>
  </w:abstractNum>
  <w:abstractNum w:abstractNumId="36">
    <w:nsid w:val="53D1534F"/>
    <w:multiLevelType w:val="multilevel"/>
    <w:tmpl w:val="1D62B92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98D4AAA"/>
    <w:multiLevelType w:val="hybridMultilevel"/>
    <w:tmpl w:val="699059C8"/>
    <w:lvl w:ilvl="0" w:tplc="9886F1CA">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24953AF"/>
    <w:multiLevelType w:val="hybridMultilevel"/>
    <w:tmpl w:val="70A869FA"/>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C303099"/>
    <w:multiLevelType w:val="hybridMultilevel"/>
    <w:tmpl w:val="279C17C0"/>
    <w:lvl w:ilvl="0" w:tplc="04C42AFA">
      <w:start w:val="1"/>
      <w:numFmt w:val="bullet"/>
      <w:lvlText w:val=""/>
      <w:lvlJc w:val="left"/>
      <w:pPr>
        <w:tabs>
          <w:tab w:val="num" w:pos="360"/>
        </w:tabs>
        <w:ind w:left="113" w:hanging="11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77A5C5E"/>
    <w:multiLevelType w:val="hybridMultilevel"/>
    <w:tmpl w:val="E192367E"/>
    <w:lvl w:ilvl="0" w:tplc="04090001">
      <w:start w:val="1"/>
      <w:numFmt w:val="bullet"/>
      <w:lvlText w:val=""/>
      <w:lvlJc w:val="left"/>
      <w:pPr>
        <w:tabs>
          <w:tab w:val="num" w:pos="360"/>
        </w:tabs>
        <w:ind w:left="360" w:hanging="360"/>
      </w:pPr>
      <w:rPr>
        <w:rFonts w:ascii="Symbol" w:hAnsi="Symbol" w:hint="default"/>
      </w:rPr>
    </w:lvl>
    <w:lvl w:ilvl="1" w:tplc="EDFC7DEC">
      <w:start w:val="2"/>
      <w:numFmt w:val="decimal"/>
      <w:lvlText w:val="(%2)"/>
      <w:lvlJc w:val="left"/>
      <w:pPr>
        <w:tabs>
          <w:tab w:val="num" w:pos="1800"/>
        </w:tabs>
        <w:ind w:left="1800" w:hanging="720"/>
      </w:pPr>
    </w:lvl>
    <w:lvl w:ilvl="2" w:tplc="1154481A">
      <w:start w:val="14"/>
      <w:numFmt w:val="decimal"/>
      <w:lvlText w:val="%3"/>
      <w:lvlJc w:val="left"/>
      <w:pPr>
        <w:tabs>
          <w:tab w:val="num" w:pos="2700"/>
        </w:tabs>
        <w:ind w:left="2700" w:hanging="720"/>
      </w:pPr>
    </w:lvl>
    <w:lvl w:ilvl="3" w:tplc="53B6E002">
      <w:start w:val="1"/>
      <w:numFmt w:val="decimal"/>
      <w:lvlText w:val="%4)"/>
      <w:lvlJc w:val="left"/>
      <w:pPr>
        <w:tabs>
          <w:tab w:val="num" w:pos="717"/>
        </w:tabs>
        <w:ind w:left="680" w:hanging="323"/>
      </w:pPr>
    </w:lvl>
    <w:lvl w:ilvl="4" w:tplc="D36A3420">
      <w:start w:val="10"/>
      <w:numFmt w:val="decimal"/>
      <w:lvlText w:val="%5."/>
      <w:lvlJc w:val="left"/>
      <w:pPr>
        <w:tabs>
          <w:tab w:val="num" w:pos="3960"/>
        </w:tabs>
        <w:ind w:left="3960" w:hanging="72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nsid w:val="79312594"/>
    <w:multiLevelType w:val="hybridMultilevel"/>
    <w:tmpl w:val="9A8A4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7469A8"/>
    <w:multiLevelType w:val="hybridMultilevel"/>
    <w:tmpl w:val="C6DC5A9A"/>
    <w:lvl w:ilvl="0" w:tplc="1E669488">
      <w:start w:val="1"/>
      <w:numFmt w:val="bullet"/>
      <w:lvlText w:val=""/>
      <w:lvlJc w:val="left"/>
      <w:pPr>
        <w:tabs>
          <w:tab w:val="num" w:pos="577"/>
        </w:tabs>
        <w:ind w:left="577" w:hanging="510"/>
      </w:pPr>
      <w:rPr>
        <w:rFonts w:ascii="Symbol" w:hAnsi="Symbol" w:hint="default"/>
      </w:rPr>
    </w:lvl>
    <w:lvl w:ilvl="1" w:tplc="6FAA70C4">
      <w:start w:val="1"/>
      <w:numFmt w:val="bullet"/>
      <w:lvlText w:val=""/>
      <w:lvlJc w:val="left"/>
      <w:pPr>
        <w:tabs>
          <w:tab w:val="num" w:pos="1601"/>
        </w:tabs>
        <w:ind w:left="1601" w:hanging="454"/>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7E8E55DE"/>
    <w:multiLevelType w:val="hybridMultilevel"/>
    <w:tmpl w:val="DDA6AAC2"/>
    <w:lvl w:ilvl="0" w:tplc="0CE4089E">
      <w:start w:val="1"/>
      <w:numFmt w:val="bullet"/>
      <w:lvlText w:val=""/>
      <w:lvlJc w:val="left"/>
      <w:pPr>
        <w:tabs>
          <w:tab w:val="num" w:pos="454"/>
        </w:tabs>
        <w:ind w:left="454" w:hanging="454"/>
      </w:pPr>
      <w:rPr>
        <w:rFonts w:ascii="Symbol" w:hAnsi="Symbol" w:hint="default"/>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42"/>
  </w:num>
  <w:num w:numId="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40"/>
    <w:lvlOverride w:ilvl="0"/>
    <w:lvlOverride w:ilvl="1">
      <w:startOverride w:val="2"/>
    </w:lvlOverride>
    <w:lvlOverride w:ilvl="2">
      <w:startOverride w:val="14"/>
    </w:lvlOverride>
    <w:lvlOverride w:ilvl="3">
      <w:startOverride w:val="1"/>
    </w:lvlOverride>
    <w:lvlOverride w:ilvl="4">
      <w:startOverride w:val="10"/>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6"/>
  </w:num>
  <w:num w:numId="13">
    <w:abstractNumId w:val="39"/>
  </w:num>
  <w:num w:numId="14">
    <w:abstractNumId w:val="27"/>
  </w:num>
  <w:num w:numId="15">
    <w:abstractNumId w:val="38"/>
  </w:num>
  <w:num w:numId="16">
    <w:abstractNumId w:val="13"/>
  </w:num>
  <w:num w:numId="17">
    <w:abstractNumId w:val="3"/>
  </w:num>
  <w:num w:numId="18">
    <w:abstractNumId w:val="0"/>
  </w:num>
  <w:num w:numId="19">
    <w:abstractNumId w:val="30"/>
  </w:num>
  <w:num w:numId="20">
    <w:abstractNumId w:val="8"/>
  </w:num>
  <w:num w:numId="21">
    <w:abstractNumId w:val="43"/>
  </w:num>
  <w:num w:numId="22">
    <w:abstractNumId w:val="37"/>
  </w:num>
  <w:num w:numId="23">
    <w:abstractNumId w:val="15"/>
  </w:num>
  <w:num w:numId="24">
    <w:abstractNumId w:val="17"/>
  </w:num>
  <w:num w:numId="25">
    <w:abstractNumId w:val="36"/>
  </w:num>
  <w:num w:numId="26">
    <w:abstractNumId w:val="36"/>
  </w:num>
  <w:num w:numId="27">
    <w:abstractNumId w:val="26"/>
  </w:num>
  <w:num w:numId="28">
    <w:abstractNumId w:val="31"/>
  </w:num>
  <w:num w:numId="29">
    <w:abstractNumId w:val="32"/>
  </w:num>
  <w:num w:numId="30">
    <w:abstractNumId w:val="21"/>
  </w:num>
  <w:num w:numId="31">
    <w:abstractNumId w:val="19"/>
  </w:num>
  <w:num w:numId="32">
    <w:abstractNumId w:val="2"/>
  </w:num>
  <w:num w:numId="33">
    <w:abstractNumId w:val="10"/>
  </w:num>
  <w:num w:numId="34">
    <w:abstractNumId w:val="4"/>
  </w:num>
  <w:num w:numId="35">
    <w:abstractNumId w:val="28"/>
  </w:num>
  <w:num w:numId="36">
    <w:abstractNumId w:val="25"/>
  </w:num>
  <w:num w:numId="37">
    <w:abstractNumId w:val="7"/>
  </w:num>
  <w:num w:numId="38">
    <w:abstractNumId w:val="41"/>
  </w:num>
  <w:num w:numId="39">
    <w:abstractNumId w:val="20"/>
  </w:num>
  <w:num w:numId="40">
    <w:abstractNumId w:val="33"/>
  </w:num>
  <w:num w:numId="41">
    <w:abstractNumId w:val="14"/>
  </w:num>
  <w:num w:numId="42">
    <w:abstractNumId w:val="35"/>
  </w:num>
  <w:num w:numId="43">
    <w:abstractNumId w:val="18"/>
  </w:num>
  <w:num w:numId="44">
    <w:abstractNumId w:val="24"/>
  </w:num>
  <w:num w:numId="45">
    <w:abstractNumId w:val="22"/>
  </w:num>
  <w:num w:numId="46">
    <w:abstractNumId w:val="11"/>
  </w:num>
  <w:num w:numId="47">
    <w:abstractNumId w:val="23"/>
  </w:num>
  <w:num w:numId="48">
    <w:abstractNumId w:val="34"/>
  </w:num>
  <w:num w:numId="49">
    <w:abstractNumId w:val="9"/>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E79"/>
    <w:rsid w:val="00011187"/>
    <w:rsid w:val="00014E34"/>
    <w:rsid w:val="000332AE"/>
    <w:rsid w:val="00035FF3"/>
    <w:rsid w:val="000418AC"/>
    <w:rsid w:val="000418F0"/>
    <w:rsid w:val="00051021"/>
    <w:rsid w:val="000524F0"/>
    <w:rsid w:val="00052D54"/>
    <w:rsid w:val="000576EB"/>
    <w:rsid w:val="00064B2D"/>
    <w:rsid w:val="00065F1F"/>
    <w:rsid w:val="00076D33"/>
    <w:rsid w:val="00076D3B"/>
    <w:rsid w:val="00077859"/>
    <w:rsid w:val="00077AEA"/>
    <w:rsid w:val="00081B0A"/>
    <w:rsid w:val="000A01C8"/>
    <w:rsid w:val="000A0E8D"/>
    <w:rsid w:val="000A3D8B"/>
    <w:rsid w:val="000A4205"/>
    <w:rsid w:val="000A72E1"/>
    <w:rsid w:val="000B427A"/>
    <w:rsid w:val="000B6AF2"/>
    <w:rsid w:val="000D6FD4"/>
    <w:rsid w:val="000D7B1C"/>
    <w:rsid w:val="000E0AE4"/>
    <w:rsid w:val="000E1EA4"/>
    <w:rsid w:val="000E3DBC"/>
    <w:rsid w:val="000E662F"/>
    <w:rsid w:val="000F3CFE"/>
    <w:rsid w:val="000F6568"/>
    <w:rsid w:val="00102819"/>
    <w:rsid w:val="00103C7B"/>
    <w:rsid w:val="00104544"/>
    <w:rsid w:val="0010778D"/>
    <w:rsid w:val="001122EC"/>
    <w:rsid w:val="00112AED"/>
    <w:rsid w:val="001159EB"/>
    <w:rsid w:val="0012388D"/>
    <w:rsid w:val="00136B57"/>
    <w:rsid w:val="00150B54"/>
    <w:rsid w:val="0015187A"/>
    <w:rsid w:val="00163553"/>
    <w:rsid w:val="00182C4C"/>
    <w:rsid w:val="001878C5"/>
    <w:rsid w:val="0019399D"/>
    <w:rsid w:val="00197D8D"/>
    <w:rsid w:val="001A1A75"/>
    <w:rsid w:val="001A7E9A"/>
    <w:rsid w:val="001B73DC"/>
    <w:rsid w:val="001C27A3"/>
    <w:rsid w:val="001C72F4"/>
    <w:rsid w:val="001D43F6"/>
    <w:rsid w:val="001E09FA"/>
    <w:rsid w:val="001E3BA0"/>
    <w:rsid w:val="001F0E0C"/>
    <w:rsid w:val="00202A6F"/>
    <w:rsid w:val="0022197C"/>
    <w:rsid w:val="00221D07"/>
    <w:rsid w:val="00223F75"/>
    <w:rsid w:val="00224E3B"/>
    <w:rsid w:val="00226374"/>
    <w:rsid w:val="00227E4A"/>
    <w:rsid w:val="0023073E"/>
    <w:rsid w:val="002421C1"/>
    <w:rsid w:val="00243E0E"/>
    <w:rsid w:val="00245C11"/>
    <w:rsid w:val="00250197"/>
    <w:rsid w:val="00250821"/>
    <w:rsid w:val="002643DF"/>
    <w:rsid w:val="00275476"/>
    <w:rsid w:val="002758A0"/>
    <w:rsid w:val="00281D6F"/>
    <w:rsid w:val="0029204E"/>
    <w:rsid w:val="00292B9B"/>
    <w:rsid w:val="002A0194"/>
    <w:rsid w:val="002A088B"/>
    <w:rsid w:val="002A45D6"/>
    <w:rsid w:val="002A5F8B"/>
    <w:rsid w:val="002A7F6C"/>
    <w:rsid w:val="002B0071"/>
    <w:rsid w:val="002C1A3B"/>
    <w:rsid w:val="002C2521"/>
    <w:rsid w:val="002C6B30"/>
    <w:rsid w:val="002E16D5"/>
    <w:rsid w:val="002E1820"/>
    <w:rsid w:val="002E22CE"/>
    <w:rsid w:val="002F35EA"/>
    <w:rsid w:val="002F6488"/>
    <w:rsid w:val="00305C54"/>
    <w:rsid w:val="0031016C"/>
    <w:rsid w:val="0031426B"/>
    <w:rsid w:val="003213F9"/>
    <w:rsid w:val="00323AB6"/>
    <w:rsid w:val="00323DBF"/>
    <w:rsid w:val="00327867"/>
    <w:rsid w:val="00332B12"/>
    <w:rsid w:val="00337CBC"/>
    <w:rsid w:val="003426CB"/>
    <w:rsid w:val="003428FC"/>
    <w:rsid w:val="00346622"/>
    <w:rsid w:val="003507DB"/>
    <w:rsid w:val="00351B07"/>
    <w:rsid w:val="0036533D"/>
    <w:rsid w:val="00371B29"/>
    <w:rsid w:val="003766F8"/>
    <w:rsid w:val="00380106"/>
    <w:rsid w:val="003814F0"/>
    <w:rsid w:val="00381E07"/>
    <w:rsid w:val="00385788"/>
    <w:rsid w:val="00391769"/>
    <w:rsid w:val="003953E1"/>
    <w:rsid w:val="003956B3"/>
    <w:rsid w:val="003A0A4D"/>
    <w:rsid w:val="003A3D30"/>
    <w:rsid w:val="003A68BE"/>
    <w:rsid w:val="003A6E80"/>
    <w:rsid w:val="003A7B84"/>
    <w:rsid w:val="003B2F23"/>
    <w:rsid w:val="003C4969"/>
    <w:rsid w:val="003D2CDC"/>
    <w:rsid w:val="003E41D5"/>
    <w:rsid w:val="003E46BA"/>
    <w:rsid w:val="003E5160"/>
    <w:rsid w:val="003F74C1"/>
    <w:rsid w:val="00401ADE"/>
    <w:rsid w:val="00405B1A"/>
    <w:rsid w:val="00410C76"/>
    <w:rsid w:val="00411907"/>
    <w:rsid w:val="00417EE3"/>
    <w:rsid w:val="004207EB"/>
    <w:rsid w:val="00421730"/>
    <w:rsid w:val="004226C1"/>
    <w:rsid w:val="00422EC9"/>
    <w:rsid w:val="00423AC7"/>
    <w:rsid w:val="0042415C"/>
    <w:rsid w:val="00432A42"/>
    <w:rsid w:val="00437276"/>
    <w:rsid w:val="004467DC"/>
    <w:rsid w:val="00453646"/>
    <w:rsid w:val="00453B6E"/>
    <w:rsid w:val="00456B54"/>
    <w:rsid w:val="00456BD5"/>
    <w:rsid w:val="00464643"/>
    <w:rsid w:val="0047037D"/>
    <w:rsid w:val="00486235"/>
    <w:rsid w:val="00486793"/>
    <w:rsid w:val="00486C66"/>
    <w:rsid w:val="00494A3F"/>
    <w:rsid w:val="004A2037"/>
    <w:rsid w:val="004A44E6"/>
    <w:rsid w:val="004A533F"/>
    <w:rsid w:val="004A793C"/>
    <w:rsid w:val="004B047B"/>
    <w:rsid w:val="004B4CDC"/>
    <w:rsid w:val="004C6E75"/>
    <w:rsid w:val="004D121E"/>
    <w:rsid w:val="004D1B1C"/>
    <w:rsid w:val="004F4F98"/>
    <w:rsid w:val="004F69F6"/>
    <w:rsid w:val="004F79AC"/>
    <w:rsid w:val="00506E9B"/>
    <w:rsid w:val="00514E0A"/>
    <w:rsid w:val="00516282"/>
    <w:rsid w:val="005207D8"/>
    <w:rsid w:val="00520919"/>
    <w:rsid w:val="00523930"/>
    <w:rsid w:val="005244F1"/>
    <w:rsid w:val="00527EC6"/>
    <w:rsid w:val="00537CDC"/>
    <w:rsid w:val="00542C9F"/>
    <w:rsid w:val="00552F50"/>
    <w:rsid w:val="00560185"/>
    <w:rsid w:val="00562917"/>
    <w:rsid w:val="00566481"/>
    <w:rsid w:val="00571B8C"/>
    <w:rsid w:val="0057350D"/>
    <w:rsid w:val="00580DDF"/>
    <w:rsid w:val="005811B7"/>
    <w:rsid w:val="00586228"/>
    <w:rsid w:val="005946D3"/>
    <w:rsid w:val="00597631"/>
    <w:rsid w:val="005A572E"/>
    <w:rsid w:val="005B084E"/>
    <w:rsid w:val="005B6AF4"/>
    <w:rsid w:val="005C04CB"/>
    <w:rsid w:val="005D16AD"/>
    <w:rsid w:val="005D2016"/>
    <w:rsid w:val="005D4C9F"/>
    <w:rsid w:val="005D72E1"/>
    <w:rsid w:val="005E06C0"/>
    <w:rsid w:val="005E58D3"/>
    <w:rsid w:val="005E6E16"/>
    <w:rsid w:val="005F400E"/>
    <w:rsid w:val="005F7342"/>
    <w:rsid w:val="006011FE"/>
    <w:rsid w:val="00605C68"/>
    <w:rsid w:val="00610A3C"/>
    <w:rsid w:val="006138D7"/>
    <w:rsid w:val="00615E83"/>
    <w:rsid w:val="00616017"/>
    <w:rsid w:val="00627F48"/>
    <w:rsid w:val="0063455F"/>
    <w:rsid w:val="00635814"/>
    <w:rsid w:val="00660B18"/>
    <w:rsid w:val="00663FCF"/>
    <w:rsid w:val="006652A2"/>
    <w:rsid w:val="00683071"/>
    <w:rsid w:val="00692490"/>
    <w:rsid w:val="006969CC"/>
    <w:rsid w:val="00696A15"/>
    <w:rsid w:val="00697DDB"/>
    <w:rsid w:val="006A48A7"/>
    <w:rsid w:val="006A5D40"/>
    <w:rsid w:val="006C22A7"/>
    <w:rsid w:val="006C5CF5"/>
    <w:rsid w:val="006D33FF"/>
    <w:rsid w:val="006E10A1"/>
    <w:rsid w:val="006F347A"/>
    <w:rsid w:val="006F4A82"/>
    <w:rsid w:val="00710C37"/>
    <w:rsid w:val="00724FA4"/>
    <w:rsid w:val="00730800"/>
    <w:rsid w:val="007470BF"/>
    <w:rsid w:val="00755F02"/>
    <w:rsid w:val="007602AA"/>
    <w:rsid w:val="007652EF"/>
    <w:rsid w:val="00765DE1"/>
    <w:rsid w:val="0077215B"/>
    <w:rsid w:val="00772BDC"/>
    <w:rsid w:val="0077630E"/>
    <w:rsid w:val="00777437"/>
    <w:rsid w:val="00780792"/>
    <w:rsid w:val="0078309E"/>
    <w:rsid w:val="00795D86"/>
    <w:rsid w:val="007A44B4"/>
    <w:rsid w:val="007A53BF"/>
    <w:rsid w:val="007A7D3D"/>
    <w:rsid w:val="007B225D"/>
    <w:rsid w:val="007B37B3"/>
    <w:rsid w:val="007C1C64"/>
    <w:rsid w:val="007C22CB"/>
    <w:rsid w:val="007C54EE"/>
    <w:rsid w:val="007D0189"/>
    <w:rsid w:val="007D2761"/>
    <w:rsid w:val="007E48BC"/>
    <w:rsid w:val="007E5785"/>
    <w:rsid w:val="007E79F7"/>
    <w:rsid w:val="007F3630"/>
    <w:rsid w:val="007F6658"/>
    <w:rsid w:val="007F7BF7"/>
    <w:rsid w:val="00807559"/>
    <w:rsid w:val="00813464"/>
    <w:rsid w:val="00826620"/>
    <w:rsid w:val="00830232"/>
    <w:rsid w:val="00831154"/>
    <w:rsid w:val="008450BC"/>
    <w:rsid w:val="00847066"/>
    <w:rsid w:val="00850B09"/>
    <w:rsid w:val="00852BC2"/>
    <w:rsid w:val="0085334B"/>
    <w:rsid w:val="008537BA"/>
    <w:rsid w:val="00856712"/>
    <w:rsid w:val="00860808"/>
    <w:rsid w:val="00861C13"/>
    <w:rsid w:val="00862349"/>
    <w:rsid w:val="00862E2F"/>
    <w:rsid w:val="008651C1"/>
    <w:rsid w:val="0086571E"/>
    <w:rsid w:val="00870214"/>
    <w:rsid w:val="00871116"/>
    <w:rsid w:val="00885C51"/>
    <w:rsid w:val="00896B85"/>
    <w:rsid w:val="0089788F"/>
    <w:rsid w:val="008A243D"/>
    <w:rsid w:val="008C4E76"/>
    <w:rsid w:val="008D06C6"/>
    <w:rsid w:val="008D5E9D"/>
    <w:rsid w:val="008E6250"/>
    <w:rsid w:val="0090061F"/>
    <w:rsid w:val="00906CF0"/>
    <w:rsid w:val="00917C6F"/>
    <w:rsid w:val="00920249"/>
    <w:rsid w:val="00920E34"/>
    <w:rsid w:val="00927283"/>
    <w:rsid w:val="00932F14"/>
    <w:rsid w:val="0094247F"/>
    <w:rsid w:val="00942D60"/>
    <w:rsid w:val="0094358A"/>
    <w:rsid w:val="0094580F"/>
    <w:rsid w:val="009460FA"/>
    <w:rsid w:val="00947534"/>
    <w:rsid w:val="009478A1"/>
    <w:rsid w:val="0096523B"/>
    <w:rsid w:val="00972D06"/>
    <w:rsid w:val="00987D1D"/>
    <w:rsid w:val="00991FAB"/>
    <w:rsid w:val="0099323D"/>
    <w:rsid w:val="00995A0A"/>
    <w:rsid w:val="0099623A"/>
    <w:rsid w:val="00997871"/>
    <w:rsid w:val="009A2699"/>
    <w:rsid w:val="009A2DC9"/>
    <w:rsid w:val="009A31C4"/>
    <w:rsid w:val="009A391C"/>
    <w:rsid w:val="009D0A63"/>
    <w:rsid w:val="009E0A61"/>
    <w:rsid w:val="009E3010"/>
    <w:rsid w:val="009E46F5"/>
    <w:rsid w:val="009F7065"/>
    <w:rsid w:val="00A2449C"/>
    <w:rsid w:val="00A316F6"/>
    <w:rsid w:val="00A318EB"/>
    <w:rsid w:val="00A409E3"/>
    <w:rsid w:val="00A46FF2"/>
    <w:rsid w:val="00A551B9"/>
    <w:rsid w:val="00A56DC7"/>
    <w:rsid w:val="00A66FDD"/>
    <w:rsid w:val="00A671E6"/>
    <w:rsid w:val="00A709E5"/>
    <w:rsid w:val="00A74892"/>
    <w:rsid w:val="00A74FD1"/>
    <w:rsid w:val="00A76568"/>
    <w:rsid w:val="00A82B2D"/>
    <w:rsid w:val="00A84A58"/>
    <w:rsid w:val="00A929A9"/>
    <w:rsid w:val="00A92A5C"/>
    <w:rsid w:val="00A96594"/>
    <w:rsid w:val="00AA41BA"/>
    <w:rsid w:val="00AA5944"/>
    <w:rsid w:val="00AA6D0D"/>
    <w:rsid w:val="00AA6FA3"/>
    <w:rsid w:val="00AC428E"/>
    <w:rsid w:val="00AD0856"/>
    <w:rsid w:val="00AD344F"/>
    <w:rsid w:val="00AD5259"/>
    <w:rsid w:val="00AE4FFD"/>
    <w:rsid w:val="00AF24FA"/>
    <w:rsid w:val="00AF387F"/>
    <w:rsid w:val="00AF397D"/>
    <w:rsid w:val="00AF7726"/>
    <w:rsid w:val="00B0059A"/>
    <w:rsid w:val="00B00E7F"/>
    <w:rsid w:val="00B041FC"/>
    <w:rsid w:val="00B13FD6"/>
    <w:rsid w:val="00B17112"/>
    <w:rsid w:val="00B21055"/>
    <w:rsid w:val="00B21DCC"/>
    <w:rsid w:val="00B25F37"/>
    <w:rsid w:val="00B32AD6"/>
    <w:rsid w:val="00B37158"/>
    <w:rsid w:val="00B425AA"/>
    <w:rsid w:val="00B44422"/>
    <w:rsid w:val="00B46EA0"/>
    <w:rsid w:val="00B55714"/>
    <w:rsid w:val="00B563FA"/>
    <w:rsid w:val="00B63BBA"/>
    <w:rsid w:val="00B72BDE"/>
    <w:rsid w:val="00B731D3"/>
    <w:rsid w:val="00B75B57"/>
    <w:rsid w:val="00B77C18"/>
    <w:rsid w:val="00B811B3"/>
    <w:rsid w:val="00B839A3"/>
    <w:rsid w:val="00B902BD"/>
    <w:rsid w:val="00B92501"/>
    <w:rsid w:val="00B9598E"/>
    <w:rsid w:val="00B95FE2"/>
    <w:rsid w:val="00BA1009"/>
    <w:rsid w:val="00BB0EC9"/>
    <w:rsid w:val="00BD2A39"/>
    <w:rsid w:val="00BD2E80"/>
    <w:rsid w:val="00BD49FF"/>
    <w:rsid w:val="00BD4B64"/>
    <w:rsid w:val="00BD77E1"/>
    <w:rsid w:val="00BE11B8"/>
    <w:rsid w:val="00BE2D71"/>
    <w:rsid w:val="00BF7FF0"/>
    <w:rsid w:val="00C11AEA"/>
    <w:rsid w:val="00C12502"/>
    <w:rsid w:val="00C26B3B"/>
    <w:rsid w:val="00C40AA5"/>
    <w:rsid w:val="00C46F70"/>
    <w:rsid w:val="00C476D0"/>
    <w:rsid w:val="00C6434A"/>
    <w:rsid w:val="00C64555"/>
    <w:rsid w:val="00C74398"/>
    <w:rsid w:val="00C830B9"/>
    <w:rsid w:val="00C836E3"/>
    <w:rsid w:val="00C836FF"/>
    <w:rsid w:val="00C854DC"/>
    <w:rsid w:val="00C86577"/>
    <w:rsid w:val="00C91C02"/>
    <w:rsid w:val="00C92E07"/>
    <w:rsid w:val="00C96868"/>
    <w:rsid w:val="00CA0416"/>
    <w:rsid w:val="00CA3E2E"/>
    <w:rsid w:val="00CA5734"/>
    <w:rsid w:val="00CB115C"/>
    <w:rsid w:val="00CC3764"/>
    <w:rsid w:val="00CC3A35"/>
    <w:rsid w:val="00CC5468"/>
    <w:rsid w:val="00CC560B"/>
    <w:rsid w:val="00CC75E2"/>
    <w:rsid w:val="00CD46EB"/>
    <w:rsid w:val="00CD4DBD"/>
    <w:rsid w:val="00CD7EBF"/>
    <w:rsid w:val="00CE59AA"/>
    <w:rsid w:val="00CF0241"/>
    <w:rsid w:val="00CF0E86"/>
    <w:rsid w:val="00D00DFA"/>
    <w:rsid w:val="00D056F1"/>
    <w:rsid w:val="00D06616"/>
    <w:rsid w:val="00D144D7"/>
    <w:rsid w:val="00D15A08"/>
    <w:rsid w:val="00D23DB6"/>
    <w:rsid w:val="00D244DD"/>
    <w:rsid w:val="00D51A95"/>
    <w:rsid w:val="00D572EE"/>
    <w:rsid w:val="00D60568"/>
    <w:rsid w:val="00D64234"/>
    <w:rsid w:val="00D70C7A"/>
    <w:rsid w:val="00D72A29"/>
    <w:rsid w:val="00D81930"/>
    <w:rsid w:val="00D834E5"/>
    <w:rsid w:val="00D96C9C"/>
    <w:rsid w:val="00DA10A8"/>
    <w:rsid w:val="00DB123A"/>
    <w:rsid w:val="00DB1E08"/>
    <w:rsid w:val="00DB2973"/>
    <w:rsid w:val="00DB298D"/>
    <w:rsid w:val="00DB32E3"/>
    <w:rsid w:val="00DC0FBA"/>
    <w:rsid w:val="00DC1B56"/>
    <w:rsid w:val="00DC20CC"/>
    <w:rsid w:val="00DC2129"/>
    <w:rsid w:val="00DC6570"/>
    <w:rsid w:val="00DD265C"/>
    <w:rsid w:val="00DD3703"/>
    <w:rsid w:val="00DE4939"/>
    <w:rsid w:val="00DE5528"/>
    <w:rsid w:val="00DF25C3"/>
    <w:rsid w:val="00DF5CFF"/>
    <w:rsid w:val="00DF72BB"/>
    <w:rsid w:val="00E04062"/>
    <w:rsid w:val="00E063C6"/>
    <w:rsid w:val="00E2003B"/>
    <w:rsid w:val="00E26887"/>
    <w:rsid w:val="00E279D8"/>
    <w:rsid w:val="00E30092"/>
    <w:rsid w:val="00E319B1"/>
    <w:rsid w:val="00E327A6"/>
    <w:rsid w:val="00E3684F"/>
    <w:rsid w:val="00E47D3B"/>
    <w:rsid w:val="00E5021C"/>
    <w:rsid w:val="00E5492F"/>
    <w:rsid w:val="00E570CF"/>
    <w:rsid w:val="00E572B1"/>
    <w:rsid w:val="00E6369A"/>
    <w:rsid w:val="00E70A86"/>
    <w:rsid w:val="00E73E50"/>
    <w:rsid w:val="00E777EC"/>
    <w:rsid w:val="00E80FCD"/>
    <w:rsid w:val="00EA2226"/>
    <w:rsid w:val="00EA7DB0"/>
    <w:rsid w:val="00EA7F2F"/>
    <w:rsid w:val="00EB576F"/>
    <w:rsid w:val="00EB6590"/>
    <w:rsid w:val="00EC00DE"/>
    <w:rsid w:val="00EC0EDF"/>
    <w:rsid w:val="00EC21DF"/>
    <w:rsid w:val="00EC30E1"/>
    <w:rsid w:val="00EC3436"/>
    <w:rsid w:val="00EC66BB"/>
    <w:rsid w:val="00ED172A"/>
    <w:rsid w:val="00ED1B22"/>
    <w:rsid w:val="00ED24D5"/>
    <w:rsid w:val="00EE01DC"/>
    <w:rsid w:val="00EE73BF"/>
    <w:rsid w:val="00EF3FDB"/>
    <w:rsid w:val="00EF7D5B"/>
    <w:rsid w:val="00F147D2"/>
    <w:rsid w:val="00F14AB3"/>
    <w:rsid w:val="00F14BEC"/>
    <w:rsid w:val="00F20033"/>
    <w:rsid w:val="00F224B7"/>
    <w:rsid w:val="00F225C5"/>
    <w:rsid w:val="00F2587A"/>
    <w:rsid w:val="00F33470"/>
    <w:rsid w:val="00F34E02"/>
    <w:rsid w:val="00F3715D"/>
    <w:rsid w:val="00F37A10"/>
    <w:rsid w:val="00F420C8"/>
    <w:rsid w:val="00F42A4C"/>
    <w:rsid w:val="00F44BFC"/>
    <w:rsid w:val="00F52099"/>
    <w:rsid w:val="00F526BD"/>
    <w:rsid w:val="00F634A1"/>
    <w:rsid w:val="00FB7512"/>
    <w:rsid w:val="00FB7D34"/>
    <w:rsid w:val="00FD7547"/>
    <w:rsid w:val="00FE287B"/>
    <w:rsid w:val="00FE6B50"/>
    <w:rsid w:val="00FF1B03"/>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8A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EndnoteText">
    <w:name w:val="endnote text"/>
    <w:basedOn w:val="Normal"/>
    <w:link w:val="EndnoteTextChar"/>
    <w:rsid w:val="001F0E0C"/>
    <w:rPr>
      <w:sz w:val="20"/>
      <w:szCs w:val="20"/>
    </w:rPr>
  </w:style>
  <w:style w:type="character" w:customStyle="1" w:styleId="EndnoteTextChar">
    <w:name w:val="Endnote Text Char"/>
    <w:basedOn w:val="DefaultParagraphFont"/>
    <w:link w:val="EndnoteText"/>
    <w:rsid w:val="001F0E0C"/>
    <w:rPr>
      <w:rFonts w:ascii="Arial" w:hAnsi="Arial"/>
      <w:lang w:eastAsia="en-US" w:bidi="en-US"/>
    </w:rPr>
  </w:style>
  <w:style w:type="table" w:customStyle="1" w:styleId="TableGrid3">
    <w:name w:val="Table Grid3"/>
    <w:basedOn w:val="TableNormal"/>
    <w:next w:val="TableGrid"/>
    <w:rsid w:val="00D572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23073E"/>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rsid w:val="00226374"/>
    <w:rPr>
      <w:b/>
      <w:bCs/>
    </w:rPr>
  </w:style>
  <w:style w:type="character" w:customStyle="1" w:styleId="CommentSubjectChar">
    <w:name w:val="Comment Subject Char"/>
    <w:basedOn w:val="CommentTextChar"/>
    <w:link w:val="CommentSubject"/>
    <w:rsid w:val="00226374"/>
    <w:rPr>
      <w:rFonts w:ascii="Arial" w:hAnsi="Arial"/>
      <w:b/>
      <w:bCs/>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footnote text" w:qFormat="1"/>
    <w:lsdException w:name="footer" w:uiPriority="99"/>
    <w:lsdException w:name="caption" w:semiHidden="1" w:unhideWhenUsed="1"/>
    <w:lsdException w:name="Title" w:uiPriority="10"/>
    <w:lsdException w:name="Default Paragraph Font" w:uiPriority="1"/>
    <w:lsdException w:name="Subtitle" w:uiPriority="11"/>
    <w:lsdException w:name="Hyperlink" w:uiPriority="99"/>
    <w:lsdException w:name="Strong" w:uiPriority="22"/>
    <w:lsdException w:name="Emphasis" w:uiPriority="20"/>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292B9B"/>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Footnote">
    <w:name w:val="Footnote"/>
    <w:basedOn w:val="Normal"/>
    <w:rsid w:val="00E47D3B"/>
    <w:pPr>
      <w:tabs>
        <w:tab w:val="left" w:pos="851"/>
      </w:tabs>
    </w:pPr>
    <w:rPr>
      <w:sz w:val="18"/>
      <w:szCs w:val="20"/>
    </w:r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aliases w:val="Footnotes Text,FSFootnotes Text,FSFootnote Text"/>
    <w:basedOn w:val="Normal"/>
    <w:link w:val="FootnoteTextChar"/>
    <w:qFormat/>
    <w:rsid w:val="00A318EB"/>
    <w:rPr>
      <w:sz w:val="20"/>
      <w:szCs w:val="20"/>
    </w:rPr>
  </w:style>
  <w:style w:type="character" w:styleId="FootnoteReference">
    <w:name w:val="footnote reference"/>
    <w:basedOn w:val="DefaultParagraphFont"/>
    <w:rsid w:val="00A318EB"/>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8C4E76"/>
    <w:pPr>
      <w:spacing w:before="60" w:after="60"/>
      <w:jc w:val="center"/>
    </w:pPr>
    <w:rPr>
      <w:rFonts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EA2226"/>
    <w:pPr>
      <w:widowControl/>
      <w:numPr>
        <w:numId w:val="45"/>
      </w:numPr>
      <w:ind w:left="567" w:hanging="567"/>
    </w:pPr>
    <w:rPr>
      <w:rFonts w:cs="Arial"/>
      <w:lang w:bidi="ar-SA"/>
    </w:rPr>
  </w:style>
  <w:style w:type="character" w:customStyle="1" w:styleId="FSBullet1Char">
    <w:name w:val="FSBullet 1 Char"/>
    <w:link w:val="FSBullet1"/>
    <w:rsid w:val="00EA2226"/>
    <w:rPr>
      <w:rFonts w:ascii="Arial" w:hAnsi="Arial" w:cs="Arial"/>
      <w:sz w:val="22"/>
      <w:szCs w:val="24"/>
      <w:lang w:eastAsia="en-US"/>
    </w:rPr>
  </w:style>
  <w:style w:type="paragraph" w:customStyle="1" w:styleId="FSBullet2">
    <w:name w:val="FSBullet 2"/>
    <w:basedOn w:val="Normal"/>
    <w:qFormat/>
    <w:rsid w:val="00DD265C"/>
    <w:pPr>
      <w:widowControl/>
      <w:numPr>
        <w:numId w:val="46"/>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47"/>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aliases w:val="Footnotes Text Char,FSFootnotes Text Char,FSFootnote Text Char"/>
    <w:basedOn w:val="DefaultParagraphFont"/>
    <w:link w:val="FootnoteText"/>
    <w:rsid w:val="006E10A1"/>
    <w:rPr>
      <w:rFonts w:ascii="Arial" w:hAnsi="Arial"/>
      <w:lang w:eastAsia="en-US" w:bidi="en-US"/>
    </w:rPr>
  </w:style>
  <w:style w:type="paragraph" w:customStyle="1" w:styleId="FSCbaseheading">
    <w:name w:val="FSC_base_heading"/>
    <w:rsid w:val="00292B9B"/>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rsid w:val="00292B9B"/>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292B9B"/>
    <w:pPr>
      <w:spacing w:before="60" w:after="60"/>
      <w:ind w:left="0" w:firstLine="0"/>
    </w:pPr>
    <w:rPr>
      <w:sz w:val="18"/>
    </w:rPr>
  </w:style>
  <w:style w:type="paragraph" w:customStyle="1" w:styleId="FSCbaseTOC">
    <w:name w:val="FSC_base_TOC"/>
    <w:rsid w:val="00292B9B"/>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292B9B"/>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292B9B"/>
    <w:pPr>
      <w:spacing w:before="120" w:after="120"/>
      <w:ind w:left="851" w:hanging="851"/>
    </w:pPr>
    <w:rPr>
      <w:b/>
      <w:sz w:val="20"/>
      <w:szCs w:val="20"/>
      <w:lang w:bidi="ar-SA"/>
    </w:rPr>
  </w:style>
  <w:style w:type="paragraph" w:customStyle="1" w:styleId="FSCfooter">
    <w:name w:val="FSC_footer"/>
    <w:basedOn w:val="Normal"/>
    <w:rsid w:val="00292B9B"/>
    <w:pPr>
      <w:widowControl/>
      <w:tabs>
        <w:tab w:val="center" w:pos="4536"/>
        <w:tab w:val="right" w:pos="9072"/>
      </w:tabs>
    </w:pPr>
    <w:rPr>
      <w:sz w:val="18"/>
      <w:szCs w:val="20"/>
      <w:lang w:bidi="ar-SA"/>
    </w:rPr>
  </w:style>
  <w:style w:type="paragraph" w:customStyle="1" w:styleId="FSCh1Chap">
    <w:name w:val="FSC_h1_Chap"/>
    <w:basedOn w:val="FSCbaseheading"/>
    <w:next w:val="FSCh2Part"/>
    <w:qFormat/>
    <w:rsid w:val="00292B9B"/>
    <w:pPr>
      <w:spacing w:before="0" w:after="240"/>
      <w:outlineLvl w:val="0"/>
    </w:pPr>
    <w:rPr>
      <w:bCs w:val="0"/>
      <w:sz w:val="40"/>
    </w:rPr>
  </w:style>
  <w:style w:type="paragraph" w:customStyle="1" w:styleId="FSCh2Part">
    <w:name w:val="FSC_h2_Part"/>
    <w:basedOn w:val="FSCbaseheading"/>
    <w:next w:val="FSCh3Standard"/>
    <w:qFormat/>
    <w:rsid w:val="00292B9B"/>
    <w:pPr>
      <w:spacing w:before="240" w:after="240"/>
      <w:outlineLvl w:val="1"/>
    </w:pPr>
    <w:rPr>
      <w:bCs w:val="0"/>
      <w:sz w:val="36"/>
      <w:szCs w:val="22"/>
    </w:rPr>
  </w:style>
  <w:style w:type="paragraph" w:customStyle="1" w:styleId="FSCh3Standard">
    <w:name w:val="FSC_h3_Standard"/>
    <w:basedOn w:val="FSCbaseheading"/>
    <w:next w:val="FSCh5Section"/>
    <w:qFormat/>
    <w:rsid w:val="00292B9B"/>
    <w:pPr>
      <w:spacing w:before="0" w:after="240"/>
      <w:outlineLvl w:val="2"/>
    </w:pPr>
    <w:rPr>
      <w:sz w:val="32"/>
    </w:rPr>
  </w:style>
  <w:style w:type="paragraph" w:customStyle="1" w:styleId="FSCh3Contents">
    <w:name w:val="FSC_h3_Contents"/>
    <w:basedOn w:val="FSCh3Standard"/>
    <w:rsid w:val="00292B9B"/>
    <w:pPr>
      <w:ind w:left="0" w:firstLine="0"/>
      <w:jc w:val="center"/>
    </w:pPr>
  </w:style>
  <w:style w:type="paragraph" w:customStyle="1" w:styleId="FSCh4Div">
    <w:name w:val="FSC_h4_Div"/>
    <w:basedOn w:val="FSCbaseheading"/>
    <w:next w:val="FSCh5Section"/>
    <w:qFormat/>
    <w:rsid w:val="00292B9B"/>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292B9B"/>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rsid w:val="00292B9B"/>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rsid w:val="00292B9B"/>
    <w:pPr>
      <w:keepLines w:val="0"/>
      <w:widowControl w:val="0"/>
      <w:spacing w:before="120" w:after="60"/>
      <w:ind w:left="1701" w:firstLine="0"/>
    </w:pPr>
    <w:rPr>
      <w:b w:val="0"/>
      <w:i/>
      <w:sz w:val="20"/>
    </w:rPr>
  </w:style>
  <w:style w:type="paragraph" w:customStyle="1" w:styleId="FSCtMain">
    <w:name w:val="FSC_t_Main"/>
    <w:basedOn w:val="FSCbasepara"/>
    <w:rsid w:val="00292B9B"/>
    <w:pPr>
      <w:keepLines w:val="0"/>
      <w:widowControl w:val="0"/>
      <w:tabs>
        <w:tab w:val="left" w:pos="1134"/>
      </w:tabs>
      <w:spacing w:after="120"/>
    </w:pPr>
  </w:style>
  <w:style w:type="paragraph" w:customStyle="1" w:styleId="FSCnatHeading">
    <w:name w:val="FSC_n_at_Heading"/>
    <w:basedOn w:val="FSCtMain"/>
    <w:qFormat/>
    <w:rsid w:val="00292B9B"/>
    <w:pPr>
      <w:ind w:left="851" w:hanging="851"/>
    </w:pPr>
    <w:rPr>
      <w:sz w:val="16"/>
    </w:rPr>
  </w:style>
  <w:style w:type="paragraph" w:customStyle="1" w:styleId="FSCtPara">
    <w:name w:val="FSC_t_Para"/>
    <w:basedOn w:val="FSCtMain"/>
    <w:qFormat/>
    <w:rsid w:val="00292B9B"/>
    <w:pPr>
      <w:tabs>
        <w:tab w:val="clear" w:pos="1134"/>
        <w:tab w:val="left" w:pos="1701"/>
      </w:tabs>
      <w:spacing w:before="60" w:after="60"/>
      <w:ind w:left="2268" w:hanging="2268"/>
    </w:pPr>
  </w:style>
  <w:style w:type="paragraph" w:customStyle="1" w:styleId="FSCnMain">
    <w:name w:val="FSC_n_Main"/>
    <w:basedOn w:val="FSCtPara"/>
    <w:qFormat/>
    <w:rsid w:val="00292B9B"/>
    <w:rPr>
      <w:iCs w:val="0"/>
      <w:sz w:val="16"/>
      <w:szCs w:val="18"/>
    </w:rPr>
  </w:style>
  <w:style w:type="paragraph" w:customStyle="1" w:styleId="FSCtSubpara">
    <w:name w:val="FSC_t_Subpara"/>
    <w:basedOn w:val="FSCtMain"/>
    <w:qFormat/>
    <w:rsid w:val="00292B9B"/>
    <w:pPr>
      <w:tabs>
        <w:tab w:val="clear" w:pos="1134"/>
        <w:tab w:val="left" w:pos="2268"/>
      </w:tabs>
      <w:spacing w:before="60" w:after="60"/>
      <w:ind w:left="2835" w:hanging="2835"/>
    </w:pPr>
  </w:style>
  <w:style w:type="paragraph" w:customStyle="1" w:styleId="FSCnPara">
    <w:name w:val="FSC_n_Para"/>
    <w:basedOn w:val="FSCtSubpara"/>
    <w:qFormat/>
    <w:rsid w:val="00292B9B"/>
    <w:rPr>
      <w:sz w:val="16"/>
    </w:rPr>
  </w:style>
  <w:style w:type="paragraph" w:customStyle="1" w:styleId="FSCtSubsub">
    <w:name w:val="FSC_t_Subsub"/>
    <w:basedOn w:val="FSCtPara"/>
    <w:qFormat/>
    <w:rsid w:val="00292B9B"/>
    <w:pPr>
      <w:tabs>
        <w:tab w:val="clear" w:pos="1701"/>
        <w:tab w:val="left" w:pos="2835"/>
      </w:tabs>
      <w:ind w:left="3402" w:hanging="3402"/>
    </w:pPr>
  </w:style>
  <w:style w:type="paragraph" w:customStyle="1" w:styleId="FSCnSubpara">
    <w:name w:val="FSC_n_Subpara"/>
    <w:basedOn w:val="FSCtSubsub"/>
    <w:qFormat/>
    <w:rsid w:val="00292B9B"/>
    <w:rPr>
      <w:sz w:val="16"/>
    </w:rPr>
  </w:style>
  <w:style w:type="paragraph" w:customStyle="1" w:styleId="FSCnSubsub">
    <w:name w:val="FSC_n_Subsub"/>
    <w:basedOn w:val="FSCnSubpara"/>
    <w:qFormat/>
    <w:rsid w:val="00292B9B"/>
    <w:pPr>
      <w:tabs>
        <w:tab w:val="clear" w:pos="2835"/>
        <w:tab w:val="left" w:pos="3402"/>
      </w:tabs>
      <w:ind w:left="3969" w:hanging="3969"/>
    </w:pPr>
  </w:style>
  <w:style w:type="paragraph" w:customStyle="1" w:styleId="FSCoContents">
    <w:name w:val="FSC_o_Contents"/>
    <w:basedOn w:val="FSCh2Part"/>
    <w:rsid w:val="00292B9B"/>
    <w:pPr>
      <w:ind w:left="0" w:firstLine="0"/>
      <w:jc w:val="center"/>
    </w:pPr>
  </w:style>
  <w:style w:type="paragraph" w:customStyle="1" w:styleId="FSCoDraftstrip">
    <w:name w:val="FSC_o_Draft_strip"/>
    <w:basedOn w:val="Normal"/>
    <w:rsid w:val="00292B9B"/>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292B9B"/>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292B9B"/>
    <w:pPr>
      <w:widowControl/>
      <w:spacing w:before="80"/>
    </w:pPr>
    <w:rPr>
      <w:color w:val="7030A0"/>
      <w:lang w:eastAsia="en-AU" w:bidi="ar-SA"/>
    </w:rPr>
  </w:style>
  <w:style w:type="paragraph" w:customStyle="1" w:styleId="FSCoFooter">
    <w:name w:val="FSC_o_Footer"/>
    <w:basedOn w:val="Normal"/>
    <w:rsid w:val="00292B9B"/>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292B9B"/>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292B9B"/>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292B9B"/>
    <w:rPr>
      <w:rFonts w:ascii="Arial" w:hAnsi="Arial"/>
      <w:b/>
      <w:noProof/>
      <w:szCs w:val="24"/>
      <w:lang w:eastAsia="en-AU"/>
    </w:rPr>
  </w:style>
  <w:style w:type="paragraph" w:customStyle="1" w:styleId="FSCoParaMark">
    <w:name w:val="FSC_o_Para_Mark"/>
    <w:basedOn w:val="Normal"/>
    <w:next w:val="Normal"/>
    <w:qFormat/>
    <w:rsid w:val="00292B9B"/>
    <w:pPr>
      <w:widowControl/>
    </w:pPr>
    <w:rPr>
      <w:sz w:val="16"/>
      <w:lang w:eastAsia="en-AU" w:bidi="ar-SA"/>
    </w:rPr>
  </w:style>
  <w:style w:type="paragraph" w:customStyle="1" w:styleId="FSCoStandardEnd">
    <w:name w:val="FSC_o_Standard_End"/>
    <w:basedOn w:val="FSCtMain"/>
    <w:qFormat/>
    <w:rsid w:val="00292B9B"/>
    <w:pPr>
      <w:spacing w:before="240" w:after="0"/>
      <w:jc w:val="center"/>
    </w:pPr>
    <w:rPr>
      <w:iCs w:val="0"/>
    </w:rPr>
  </w:style>
  <w:style w:type="paragraph" w:customStyle="1" w:styleId="FSCoTitleofInstrument">
    <w:name w:val="FSC_o_Title_of_Instrument"/>
    <w:basedOn w:val="Normal"/>
    <w:rsid w:val="00292B9B"/>
    <w:pPr>
      <w:widowControl/>
      <w:spacing w:before="200"/>
    </w:pPr>
    <w:rPr>
      <w:b/>
      <w:sz w:val="32"/>
      <w:lang w:eastAsia="en-AU" w:bidi="ar-SA"/>
    </w:rPr>
  </w:style>
  <w:style w:type="paragraph" w:customStyle="1" w:styleId="FSCoutChap">
    <w:name w:val="FSC_out_Chap"/>
    <w:basedOn w:val="FSCh4Div"/>
    <w:qFormat/>
    <w:rsid w:val="00292B9B"/>
    <w:pPr>
      <w:tabs>
        <w:tab w:val="left" w:pos="1701"/>
      </w:tabs>
      <w:spacing w:after="120"/>
      <w:ind w:left="3402" w:hanging="3402"/>
    </w:pPr>
  </w:style>
  <w:style w:type="paragraph" w:customStyle="1" w:styleId="FSCoutPart">
    <w:name w:val="FSC_out_Part"/>
    <w:basedOn w:val="FSCh5Section"/>
    <w:qFormat/>
    <w:rsid w:val="00292B9B"/>
    <w:pPr>
      <w:keepNext w:val="0"/>
      <w:tabs>
        <w:tab w:val="left" w:pos="1701"/>
      </w:tabs>
      <w:ind w:left="3402" w:hanging="3402"/>
    </w:pPr>
  </w:style>
  <w:style w:type="paragraph" w:customStyle="1" w:styleId="FSCoutStand">
    <w:name w:val="FSC_out_Stand"/>
    <w:basedOn w:val="FSCtMain"/>
    <w:qFormat/>
    <w:rsid w:val="00292B9B"/>
    <w:pPr>
      <w:tabs>
        <w:tab w:val="clear" w:pos="1134"/>
        <w:tab w:val="left" w:pos="1701"/>
      </w:tabs>
      <w:ind w:left="3402" w:hanging="3402"/>
    </w:pPr>
  </w:style>
  <w:style w:type="paragraph" w:customStyle="1" w:styleId="FSCtDefn">
    <w:name w:val="FSC_t_Defn"/>
    <w:basedOn w:val="FSCtMain"/>
    <w:rsid w:val="00292B9B"/>
    <w:pPr>
      <w:ind w:firstLine="0"/>
    </w:pPr>
  </w:style>
  <w:style w:type="paragraph" w:customStyle="1" w:styleId="FSCtblAddh1">
    <w:name w:val="FSC_tbl_Add_h1"/>
    <w:basedOn w:val="FSCh4Div"/>
    <w:rsid w:val="00292B9B"/>
    <w:pPr>
      <w:spacing w:before="120" w:after="120"/>
    </w:pPr>
    <w:rPr>
      <w:rFonts w:eastAsiaTheme="minorHAnsi"/>
      <w:sz w:val="20"/>
      <w:lang w:eastAsia="en-US"/>
    </w:rPr>
  </w:style>
  <w:style w:type="paragraph" w:customStyle="1" w:styleId="FSCtblAddh2">
    <w:name w:val="FSC_tbl_Add_h2"/>
    <w:basedOn w:val="FSCtblAddh1"/>
    <w:rsid w:val="00292B9B"/>
    <w:pPr>
      <w:spacing w:before="60" w:after="60"/>
    </w:pPr>
    <w:rPr>
      <w:i/>
    </w:rPr>
  </w:style>
  <w:style w:type="paragraph" w:customStyle="1" w:styleId="FSCtblAddh3">
    <w:name w:val="FSC_tbl_Add_h3"/>
    <w:basedOn w:val="Normal"/>
    <w:rsid w:val="00292B9B"/>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292B9B"/>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292B9B"/>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292B9B"/>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292B9B"/>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292B9B"/>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292B9B"/>
    <w:pPr>
      <w:widowControl/>
      <w:ind w:left="113" w:hanging="113"/>
    </w:pPr>
    <w:rPr>
      <w:bCs/>
      <w:sz w:val="16"/>
      <w:szCs w:val="20"/>
      <w:lang w:bidi="ar-SA"/>
    </w:rPr>
  </w:style>
  <w:style w:type="paragraph" w:customStyle="1" w:styleId="FSCtblh2">
    <w:name w:val="FSC_tbl_h2"/>
    <w:basedOn w:val="Normal"/>
    <w:qFormat/>
    <w:rsid w:val="00292B9B"/>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292B9B"/>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292B9B"/>
    <w:pPr>
      <w:keepNext/>
      <w:keepLines/>
      <w:widowControl/>
      <w:spacing w:before="60" w:after="60"/>
    </w:pPr>
    <w:rPr>
      <w:rFonts w:cs="Arial"/>
      <w:i/>
      <w:sz w:val="18"/>
      <w:szCs w:val="22"/>
      <w:lang w:eastAsia="en-AU" w:bidi="ar-SA"/>
    </w:rPr>
  </w:style>
  <w:style w:type="paragraph" w:customStyle="1" w:styleId="FSCtblMain">
    <w:name w:val="FSC_tbl_Main"/>
    <w:basedOn w:val="Normal"/>
    <w:rsid w:val="00292B9B"/>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292B9B"/>
    <w:pPr>
      <w:jc w:val="center"/>
    </w:pPr>
    <w:rPr>
      <w:rFonts w:eastAsiaTheme="minorHAnsi"/>
      <w:lang w:eastAsia="en-US"/>
    </w:rPr>
  </w:style>
  <w:style w:type="paragraph" w:customStyle="1" w:styleId="FSCtblMainRH">
    <w:name w:val="FSC_tbl_Main_RH"/>
    <w:basedOn w:val="FSCtblMain"/>
    <w:qFormat/>
    <w:rsid w:val="00292B9B"/>
    <w:pPr>
      <w:jc w:val="right"/>
    </w:pPr>
    <w:rPr>
      <w:rFonts w:eastAsiaTheme="minorHAnsi"/>
      <w:lang w:eastAsia="en-US"/>
    </w:rPr>
  </w:style>
  <w:style w:type="paragraph" w:customStyle="1" w:styleId="FSCtblMRL1">
    <w:name w:val="FSC_tbl_MRL1"/>
    <w:basedOn w:val="Normal"/>
    <w:rsid w:val="00292B9B"/>
    <w:pPr>
      <w:keepLines/>
      <w:widowControl/>
      <w:spacing w:before="20" w:after="20"/>
    </w:pPr>
    <w:rPr>
      <w:rFonts w:cs="Arial"/>
      <w:sz w:val="18"/>
      <w:szCs w:val="20"/>
      <w:lang w:eastAsia="en-AU" w:bidi="ar-SA"/>
    </w:rPr>
  </w:style>
  <w:style w:type="paragraph" w:customStyle="1" w:styleId="FSCtblMRL2">
    <w:name w:val="FSC_tbl_MRL2"/>
    <w:basedOn w:val="FSCtblMRL1"/>
    <w:qFormat/>
    <w:rsid w:val="00292B9B"/>
    <w:pPr>
      <w:jc w:val="right"/>
    </w:pPr>
    <w:rPr>
      <w:rFonts w:eastAsiaTheme="minorHAnsi"/>
      <w:lang w:eastAsia="en-US"/>
    </w:rPr>
  </w:style>
  <w:style w:type="paragraph" w:customStyle="1" w:styleId="FSCtblPara">
    <w:name w:val="FSC_tbl_Para"/>
    <w:basedOn w:val="Normal"/>
    <w:rsid w:val="00292B9B"/>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292B9B"/>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EndnoteText">
    <w:name w:val="endnote text"/>
    <w:basedOn w:val="Normal"/>
    <w:link w:val="EndnoteTextChar"/>
    <w:rsid w:val="001F0E0C"/>
    <w:rPr>
      <w:sz w:val="20"/>
      <w:szCs w:val="20"/>
    </w:rPr>
  </w:style>
  <w:style w:type="character" w:customStyle="1" w:styleId="EndnoteTextChar">
    <w:name w:val="Endnote Text Char"/>
    <w:basedOn w:val="DefaultParagraphFont"/>
    <w:link w:val="EndnoteText"/>
    <w:rsid w:val="001F0E0C"/>
    <w:rPr>
      <w:rFonts w:ascii="Arial" w:hAnsi="Arial"/>
      <w:lang w:eastAsia="en-US" w:bidi="en-US"/>
    </w:rPr>
  </w:style>
  <w:style w:type="table" w:customStyle="1" w:styleId="TableGrid3">
    <w:name w:val="Table Grid3"/>
    <w:basedOn w:val="TableNormal"/>
    <w:next w:val="TableGrid"/>
    <w:rsid w:val="00D572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23073E"/>
    <w:rPr>
      <w:rFonts w:ascii="Times" w:hAnsi="Tim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rsid w:val="00226374"/>
    <w:rPr>
      <w:b/>
      <w:bCs/>
    </w:rPr>
  </w:style>
  <w:style w:type="character" w:customStyle="1" w:styleId="CommentSubjectChar">
    <w:name w:val="Comment Subject Char"/>
    <w:basedOn w:val="CommentTextChar"/>
    <w:link w:val="CommentSubject"/>
    <w:rsid w:val="00226374"/>
    <w:rPr>
      <w:rFonts w:ascii="Arial" w:hAnsi="Arial"/>
      <w:b/>
      <w:bCs/>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05618420">
      <w:bodyDiv w:val="1"/>
      <w:marLeft w:val="0"/>
      <w:marRight w:val="0"/>
      <w:marTop w:val="0"/>
      <w:marBottom w:val="0"/>
      <w:divBdr>
        <w:top w:val="none" w:sz="0" w:space="0" w:color="auto"/>
        <w:left w:val="none" w:sz="0" w:space="0" w:color="auto"/>
        <w:bottom w:val="none" w:sz="0" w:space="0" w:color="auto"/>
        <w:right w:val="none" w:sz="0" w:space="0" w:color="auto"/>
      </w:divBdr>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www.foodstandards.govt.nz/code/applications/Pages/A1113Propionates-in-Processed-Meat.aspx"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fsis.usda.gov/wps/wcm/connect/7f981741-94f1-468c-b60d-b428c971152d/7120_68.pdf?MOD=AJPERES" TargetMode="External"/><Relationship Id="rId2" Type="http://schemas.openxmlformats.org/officeDocument/2006/relationships/hyperlink" Target="http://www.ecfr.gov/cgi-bin/text-idx?SID=5da6fa0bb90c2f8f8548889522619fdc&amp;mc=true&amp;node=pt21.3.184&amp;rgn=div5" TargetMode="External"/><Relationship Id="rId1" Type="http://schemas.openxmlformats.org/officeDocument/2006/relationships/hyperlink" Target="http://www.fao.org/gsfaonline/additives/search.html?lang=en" TargetMode="External"/><Relationship Id="rId5" Type="http://schemas.openxmlformats.org/officeDocument/2006/relationships/hyperlink" Target="http://www.foodstandards.gov.au/code/fofr/fofrpolicy/pages/default.aspx" TargetMode="External"/><Relationship Id="rId4" Type="http://schemas.openxmlformats.org/officeDocument/2006/relationships/hyperlink" Target="http://www.efsa.europa.eu/en/efsajournal/pub/4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FABAD4-3CDC-4B39-B47B-CEC408520880}"/>
</file>

<file path=customXml/itemProps2.xml><?xml version="1.0" encoding="utf-8"?>
<ds:datastoreItem xmlns:ds="http://schemas.openxmlformats.org/officeDocument/2006/customXml" ds:itemID="{1B931BF6-7BF7-4C51-83F2-74CF75CCD2D9}"/>
</file>

<file path=customXml/itemProps3.xml><?xml version="1.0" encoding="utf-8"?>
<ds:datastoreItem xmlns:ds="http://schemas.openxmlformats.org/officeDocument/2006/customXml" ds:itemID="{A7441548-4830-473E-AE8D-910F94D8CC43}"/>
</file>

<file path=customXml/itemProps4.xml><?xml version="1.0" encoding="utf-8"?>
<ds:datastoreItem xmlns:ds="http://schemas.openxmlformats.org/officeDocument/2006/customXml" ds:itemID="{629B3EAE-8DA3-405D-8C94-D47B9639A8C5}"/>
</file>

<file path=docProps/app.xml><?xml version="1.0" encoding="utf-8"?>
<Properties xmlns="http://schemas.openxmlformats.org/officeDocument/2006/extended-properties" xmlns:vt="http://schemas.openxmlformats.org/officeDocument/2006/docPropsVTypes">
  <Template>Normal</Template>
  <TotalTime>0</TotalTime>
  <Pages>15</Pages>
  <Words>4544</Words>
  <Characters>25901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30385</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A1113 Propionates in Processed Meat AppR</dc:title>
  <dc:creator/>
  <cp:keywords/>
  <cp:lastModifiedBy/>
  <cp:revision>1</cp:revision>
  <dcterms:created xsi:type="dcterms:W3CDTF">2016-10-20T01:07:00Z</dcterms:created>
  <dcterms:modified xsi:type="dcterms:W3CDTF">2016-10-20T01:13:00Z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